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בס</w:t>
      </w:r>
      <w:r w:rsidDel="00000000" w:rsidR="00000000" w:rsidRPr="00000000">
        <w:rPr>
          <w:sz w:val="18"/>
          <w:szCs w:val="18"/>
          <w:rtl w:val="1"/>
        </w:rPr>
        <w:t xml:space="preserve">"</w:t>
      </w:r>
      <w:r w:rsidDel="00000000" w:rsidR="00000000" w:rsidRPr="00000000">
        <w:rPr>
          <w:sz w:val="18"/>
          <w:szCs w:val="18"/>
          <w:rtl w:val="1"/>
        </w:rPr>
        <w:t xml:space="preserve">ד</w:t>
      </w:r>
      <w:r w:rsidDel="00000000" w:rsidR="00000000" w:rsidRPr="00000000">
        <w:rPr>
          <w:sz w:val="18"/>
          <w:szCs w:val="18"/>
          <w:rtl w:val="1"/>
        </w:rPr>
        <w:t xml:space="preserve">                                                     </w:t>
      </w:r>
      <w:r w:rsidDel="00000000" w:rsidR="00000000" w:rsidRPr="00000000">
        <w:rPr>
          <w:sz w:val="18"/>
          <w:szCs w:val="18"/>
          <w:rtl w:val="1"/>
        </w:rPr>
        <w:t xml:space="preserve">כתבי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הרב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חרל</w:t>
      </w:r>
      <w:r w:rsidDel="00000000" w:rsidR="00000000" w:rsidRPr="00000000">
        <w:rPr>
          <w:sz w:val="18"/>
          <w:szCs w:val="18"/>
          <w:rtl w:val="1"/>
        </w:rPr>
        <w:t xml:space="preserve">"</w:t>
      </w:r>
      <w:r w:rsidDel="00000000" w:rsidR="00000000" w:rsidRPr="00000000">
        <w:rPr>
          <w:sz w:val="18"/>
          <w:szCs w:val="18"/>
          <w:rtl w:val="1"/>
        </w:rPr>
        <w:t xml:space="preserve">פ</w:t>
      </w:r>
      <w:r w:rsidDel="00000000" w:rsidR="00000000" w:rsidRPr="00000000">
        <w:rPr>
          <w:sz w:val="18"/>
          <w:szCs w:val="18"/>
          <w:rtl w:val="1"/>
        </w:rPr>
        <w:t xml:space="preserve"> / </w:t>
      </w:r>
      <w:r w:rsidDel="00000000" w:rsidR="00000000" w:rsidRPr="00000000">
        <w:rPr>
          <w:sz w:val="18"/>
          <w:szCs w:val="18"/>
          <w:rtl w:val="1"/>
        </w:rPr>
        <w:t xml:space="preserve">פרשת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בהעלותך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המצוה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ועושה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ושאינו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מצוה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ועושה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נושאים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בפ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'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בהעלותך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ח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א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ד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העלאת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נרות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המנורה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ע</w:t>
      </w:r>
      <w:r w:rsidDel="00000000" w:rsidR="00000000" w:rsidRPr="00000000">
        <w:rPr>
          <w:sz w:val="18"/>
          <w:szCs w:val="18"/>
          <w:rtl w:val="1"/>
        </w:rPr>
        <w:t xml:space="preserve">"</w:t>
      </w:r>
      <w:r w:rsidDel="00000000" w:rsidR="00000000" w:rsidRPr="00000000">
        <w:rPr>
          <w:sz w:val="18"/>
          <w:szCs w:val="18"/>
          <w:rtl w:val="1"/>
        </w:rPr>
        <w:t xml:space="preserve">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אהרן</w:t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ח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ה</w:t>
      </w:r>
      <w:r w:rsidDel="00000000" w:rsidR="00000000" w:rsidRPr="00000000">
        <w:rPr>
          <w:sz w:val="18"/>
          <w:szCs w:val="18"/>
          <w:rtl w:val="1"/>
        </w:rPr>
        <w:t xml:space="preserve">-</w:t>
      </w:r>
      <w:r w:rsidDel="00000000" w:rsidR="00000000" w:rsidRPr="00000000">
        <w:rPr>
          <w:sz w:val="18"/>
          <w:szCs w:val="18"/>
          <w:rtl w:val="1"/>
        </w:rPr>
        <w:t xml:space="preserve">כו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טהרת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הלויים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הנפתם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והגיל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לעבודתם</w:t>
      </w:r>
    </w:p>
    <w:p w:rsidR="00000000" w:rsidDel="00000000" w:rsidP="00000000" w:rsidRDefault="00000000" w:rsidRPr="00000000" w14:paraId="00000008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ט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א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יד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קרבן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הפסח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ופסח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שני</w:t>
      </w:r>
    </w:p>
    <w:p w:rsidR="00000000" w:rsidDel="00000000" w:rsidP="00000000" w:rsidRDefault="00000000" w:rsidRPr="00000000" w14:paraId="00000009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ט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טו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כג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עמוד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הענן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ועל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פי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ד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יחנו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ועל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פי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ד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יסעו</w:t>
      </w:r>
    </w:p>
    <w:p w:rsidR="00000000" w:rsidDel="00000000" w:rsidP="00000000" w:rsidRDefault="00000000" w:rsidRPr="00000000" w14:paraId="0000000A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א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י</w:t>
      </w:r>
      <w:r w:rsidDel="00000000" w:rsidR="00000000" w:rsidRPr="00000000">
        <w:rPr>
          <w:sz w:val="18"/>
          <w:szCs w:val="18"/>
          <w:rtl w:val="1"/>
        </w:rPr>
        <w:t xml:space="preserve">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החצוצרות</w:t>
      </w:r>
    </w:p>
    <w:p w:rsidR="00000000" w:rsidDel="00000000" w:rsidP="00000000" w:rsidRDefault="00000000" w:rsidRPr="00000000" w14:paraId="0000000B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יא</w:t>
      </w:r>
      <w:r w:rsidDel="00000000" w:rsidR="00000000" w:rsidRPr="00000000">
        <w:rPr>
          <w:sz w:val="18"/>
          <w:szCs w:val="18"/>
          <w:rtl w:val="1"/>
        </w:rPr>
        <w:t xml:space="preserve">' – </w:t>
      </w:r>
      <w:r w:rsidDel="00000000" w:rsidR="00000000" w:rsidRPr="00000000">
        <w:rPr>
          <w:sz w:val="18"/>
          <w:szCs w:val="18"/>
          <w:rtl w:val="1"/>
        </w:rPr>
        <w:t xml:space="preserve">לד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נסיעה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על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פי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הדגלים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ובקשת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משה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מיתרו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להצטרף</w:t>
      </w:r>
    </w:p>
    <w:p w:rsidR="00000000" w:rsidDel="00000000" w:rsidP="00000000" w:rsidRDefault="00000000" w:rsidRPr="00000000" w14:paraId="0000000C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לה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לו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פרשת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ויהי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בנסע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הארון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יא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א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טו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המתאוננים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והמתאווים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ופנית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משה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לקב</w:t>
      </w:r>
      <w:r w:rsidDel="00000000" w:rsidR="00000000" w:rsidRPr="00000000">
        <w:rPr>
          <w:sz w:val="18"/>
          <w:szCs w:val="18"/>
          <w:rtl w:val="1"/>
        </w:rPr>
        <w:t xml:space="preserve">"</w:t>
      </w:r>
      <w:r w:rsidDel="00000000" w:rsidR="00000000" w:rsidRPr="00000000">
        <w:rPr>
          <w:sz w:val="18"/>
          <w:szCs w:val="18"/>
          <w:rtl w:val="1"/>
        </w:rPr>
        <w:t xml:space="preserve">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בעניין</w:t>
      </w:r>
    </w:p>
    <w:p w:rsidR="00000000" w:rsidDel="00000000" w:rsidP="00000000" w:rsidRDefault="00000000" w:rsidRPr="00000000" w14:paraId="0000000E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יא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טז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כה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הנהגת</w:t>
      </w:r>
      <w:r w:rsidDel="00000000" w:rsidR="00000000" w:rsidRPr="00000000">
        <w:rPr>
          <w:sz w:val="18"/>
          <w:szCs w:val="18"/>
          <w:rtl w:val="1"/>
        </w:rPr>
        <w:t xml:space="preserve"> 70 </w:t>
      </w:r>
      <w:r w:rsidDel="00000000" w:rsidR="00000000" w:rsidRPr="00000000">
        <w:rPr>
          <w:sz w:val="18"/>
          <w:szCs w:val="18"/>
          <w:rtl w:val="1"/>
        </w:rPr>
        <w:t xml:space="preserve">זקנים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ופתרון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בעיית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הבשר</w:t>
      </w:r>
      <w:r w:rsidDel="00000000" w:rsidR="00000000" w:rsidRPr="00000000">
        <w:rPr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0F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יא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כו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כט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אלדד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ומידד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מתנבאים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במחנה</w:t>
      </w:r>
    </w:p>
    <w:p w:rsidR="00000000" w:rsidDel="00000000" w:rsidP="00000000" w:rsidRDefault="00000000" w:rsidRPr="00000000" w14:paraId="00000010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יא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ל</w:t>
      </w:r>
      <w:r w:rsidDel="00000000" w:rsidR="00000000" w:rsidRPr="00000000">
        <w:rPr>
          <w:sz w:val="18"/>
          <w:szCs w:val="18"/>
          <w:rtl w:val="1"/>
        </w:rPr>
        <w:t xml:space="preserve">' – </w:t>
      </w:r>
      <w:r w:rsidDel="00000000" w:rsidR="00000000" w:rsidRPr="00000000">
        <w:rPr>
          <w:sz w:val="18"/>
          <w:szCs w:val="18"/>
          <w:rtl w:val="1"/>
        </w:rPr>
        <w:t xml:space="preserve">לה</w:t>
      </w:r>
      <w:r w:rsidDel="00000000" w:rsidR="00000000" w:rsidRPr="00000000">
        <w:rPr>
          <w:sz w:val="18"/>
          <w:szCs w:val="18"/>
          <w:rtl w:val="1"/>
        </w:rPr>
        <w:t xml:space="preserve">' –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הבשר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לעם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והעונש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בקברות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התאוה</w:t>
      </w:r>
    </w:p>
    <w:p w:rsidR="00000000" w:rsidDel="00000000" w:rsidP="00000000" w:rsidRDefault="00000000" w:rsidRPr="00000000" w14:paraId="00000011">
      <w:pPr>
        <w:tabs>
          <w:tab w:val="center" w:leader="none" w:pos="4153"/>
          <w:tab w:val="right" w:leader="none" w:pos="8306"/>
        </w:tabs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**</w:t>
      </w:r>
      <w:r w:rsidDel="00000000" w:rsidR="00000000" w:rsidRPr="00000000">
        <w:rPr>
          <w:sz w:val="18"/>
          <w:szCs w:val="18"/>
          <w:rtl w:val="1"/>
        </w:rPr>
        <w:t xml:space="preserve">פרק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יב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פס</w:t>
      </w:r>
      <w:r w:rsidDel="00000000" w:rsidR="00000000" w:rsidRPr="00000000">
        <w:rPr>
          <w:sz w:val="18"/>
          <w:szCs w:val="18"/>
          <w:rtl w:val="1"/>
        </w:rPr>
        <w:t xml:space="preserve">' </w:t>
      </w:r>
      <w:r w:rsidDel="00000000" w:rsidR="00000000" w:rsidRPr="00000000">
        <w:rPr>
          <w:sz w:val="18"/>
          <w:szCs w:val="18"/>
          <w:rtl w:val="1"/>
        </w:rPr>
        <w:t xml:space="preserve">א</w:t>
      </w:r>
      <w:r w:rsidDel="00000000" w:rsidR="00000000" w:rsidRPr="00000000">
        <w:rPr>
          <w:sz w:val="18"/>
          <w:szCs w:val="18"/>
          <w:rtl w:val="1"/>
        </w:rPr>
        <w:t xml:space="preserve">'-</w:t>
      </w:r>
      <w:r w:rsidDel="00000000" w:rsidR="00000000" w:rsidRPr="00000000">
        <w:rPr>
          <w:sz w:val="18"/>
          <w:szCs w:val="18"/>
          <w:rtl w:val="1"/>
        </w:rPr>
        <w:t xml:space="preserve">טז</w:t>
      </w:r>
      <w:r w:rsidDel="00000000" w:rsidR="00000000" w:rsidRPr="00000000">
        <w:rPr>
          <w:sz w:val="18"/>
          <w:szCs w:val="18"/>
          <w:rtl w:val="1"/>
        </w:rPr>
        <w:t xml:space="preserve">' - </w:t>
      </w:r>
      <w:r w:rsidDel="00000000" w:rsidR="00000000" w:rsidRPr="00000000">
        <w:rPr>
          <w:b w:val="1"/>
          <w:bCs w:val="1"/>
          <w:sz w:val="18"/>
          <w:szCs w:val="18"/>
          <w:rtl w:val="1"/>
        </w:rPr>
        <w:t xml:space="preserve">נושא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: </w:t>
      </w:r>
      <w:r w:rsidDel="00000000" w:rsidR="00000000" w:rsidRPr="00000000">
        <w:rPr>
          <w:sz w:val="18"/>
          <w:szCs w:val="18"/>
          <w:rtl w:val="1"/>
        </w:rPr>
        <w:t xml:space="preserve">מרים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מדברת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במשה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ונענשת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מרום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שיחות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בהעלותך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מאמר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טו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center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בחינות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center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מעלות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וחסרונות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וצריך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לבא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ולהעלותו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לבחינת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ותושבע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center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בתושבע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ישנם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הבחינות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האינו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הכללתן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במצווה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בחינתם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ואהרן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ובזה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מתבארים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עניני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הפרשה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 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קידושין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שסומא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פטור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עבידנא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להיפך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זיכוך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משתוקק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ריעותא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ההשגה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ונשגב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בהכרח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מוגבלת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בכוחו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וממילא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מושגו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גבוהים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להשיג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דידיה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השגתו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חפץ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בהרכבת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חצובה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כסא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דרגין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דרגין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בכוחו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ומבחינה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בציווי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המדרגות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מהעולמות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והיוצא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שבאמת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המצווה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שניהם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נאים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ויאים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המעלה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המיוחדת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ובאמת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בחינות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ובחינת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תושבע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לכאורה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יפלא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הוצרכנו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להבדל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לתושבע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נמסרו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שניהם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בידינו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בכתב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מחסד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הבורא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שמסר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בידינו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הבחינות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מעלת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המצווה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ובחינת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התושבע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שלכתחילה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משיגים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מדעתם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מעלת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שמוצאים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התושבע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רמוזה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בתושב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וליכא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מידי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רמיזא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באורייתא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חוזר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ונכלל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כאחת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התושב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התושבע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המצווה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התושבע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יצירת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התושבע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להחזירה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עבודתו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הישראלי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עשייתם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תושבע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לרוממם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ולנשאם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אצילתם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בתחילת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יצירתם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לקיימה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יתבאר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שהרגישו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הפסח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הציווי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ואשמעה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שהרגישו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התכללות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המתאוננים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התכללות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אגודים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והבחנה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באכילת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נצטוו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והוכרחו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אכילות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לקדשם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ולעשותם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למכשירי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שבזכות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צדקניות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שהאכילו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בעליהן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להמשיך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גזע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נתאוו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טענתם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ביסודם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בהשתלשלותן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וירידתן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ומסתלפים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יורדים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הרעיון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התביעה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התעוררות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לדרישת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שנסתלפה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ונתגשמה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פשוטה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הידיעות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ההכרחיות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שממכה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לתקן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רטיה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הרעיון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ישועתן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שיספק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נסתפק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ביכלתו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טענתו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ישחט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יביאו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יסתפקו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צמאונם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חפצם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תקצר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היקרך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יבקשו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הציווי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שיאסוף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זקנים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ומצידם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יבצר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תושבע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שביארנו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יבואר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שדברו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הקדמת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הנצי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בהעמק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דבר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לספר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במדבר</w:t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חנינא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גמליאל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סוטה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הפקודים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ונרשם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רבותינו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הפקודים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יותר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משארי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שמיוחדים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המרגלים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וברכת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משום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דעיקר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הספר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המחליף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ומשנה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הליכות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בחיי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מאז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שהגיעו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הדרך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שהלכו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שבמדבר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מתנהגים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במדת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תפארת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שהלך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לימין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לגמרי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למעלה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מהליכות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הטבע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ובא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הלכו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בדרך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הטבע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בסתרי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השגחת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מלכות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שמים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השנוי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התחיל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עודם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בשנת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הארבעים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שביארנו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בפ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חקת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עפ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הכנעני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סיחון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הטבע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המטה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ההכרח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שביארנו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וע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המצוין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אמרו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חז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בבראשית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רבה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ויבדל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אלהים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ובין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החשך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מבדיל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יוצאי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מצרים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ובין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האר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עיקר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ההפרש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ניכר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בשני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הפקודים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שיהו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ענינים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שוים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בחומר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המעשה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ונשתנו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הליכות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מש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עפ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הדגלים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רוחות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כמרכבה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לשכינה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וקודם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למנשה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בפקודי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פינחס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הארבעים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כמש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sz w:val="20"/>
          <w:szCs w:val="20"/>
          <w:rtl w:val="1"/>
        </w:rPr>
        <w:t xml:space="preserve">ועוד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בפקודי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מוכרחים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השבט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בפקודי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פינחס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sz w:val="20"/>
          <w:szCs w:val="20"/>
          <w:rtl w:val="1"/>
        </w:rPr>
        <w:t xml:space="preserve">מש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מאד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הפקודים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והנראה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דעפ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ההכונה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אמרו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חז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דויהי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בנסוע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הארון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בפ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ללמדנו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התחלת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כמתאוננים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וגו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בשביל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שהתנהגו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תפארת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נענשו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שחטאו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צל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ההשגחה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ימינם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לסבול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שגרם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מרגלים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ומזה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נשתלשל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שהגיע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פרשה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קטנה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המחלקת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אופני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הליכות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חלק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הספר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בפ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ההילוך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בפ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ההילוך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ספר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בפ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וכמש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בראשית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שספור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מאמר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עליית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אליהו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הרב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חרל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הגר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הופעת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נשמתו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אדוננו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הגאון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בעולמנו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שמקובלני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לאוזן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לשמור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עץ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להרים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רגשי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הנבואה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ולמען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להדריך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הקודש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שישמרו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שחזר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והכריע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שגדול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המצווה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ועושה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ובשביל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תתני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ענווה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דאיכא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דעיקר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ענווה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לציווי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עקב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ענווה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יראת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יעודו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בגילוי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רזי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כנודע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וכמובא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תולדות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יצחק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ללמד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אורחות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ביושר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קודשם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להלוך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הפלפול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הבלתי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נהוג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בימים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ההם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ורבים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צווחו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והרעישו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הופיעה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נשמתו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הקדושה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אדוננו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הגאון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למד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ולימד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והכל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הענוות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חן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השיבה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לציון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משכן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כבודו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ולירושלים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בית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מקדשו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לבנות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ולשכללם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בהדר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קודשם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ולדעת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כי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ארץ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ישראל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היא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כסוכה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שמצוותה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תעשה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ולא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מן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1"/>
        </w:rPr>
        <w:t xml:space="preserve">העשוי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כדי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לקיים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ויהי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בשלם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סוכו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ומעונתו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בציון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בקבוץ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גלויות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דרך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הקץ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המגולה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כמבואר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לעיל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אשר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זאת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הייתה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מגמתם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רבנו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הגר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ותלמידיו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בעבודת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יסוד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הישוב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בארה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וכן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לזכות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לרוח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הקודש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אמיתית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בלי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שום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עירוב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פסולת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שלזה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חזה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הגר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בצפייתו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לרוח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הקודש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שאי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אפשר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לזכות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בשלמות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זולת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בארץ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הקודש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והייתה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תקוותו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מלאה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שעי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תוחזר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עטרת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הקודש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ליושנה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שכל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בניך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למודי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וקיום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החזון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הנביא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[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יואל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'] 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והיה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אחרי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אשפוך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רוחי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ונבאו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בניכם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ובנותיכם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זקניכם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חלומות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יחלמון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בחוריכם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חזיונות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יראו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ובזה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יקויים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סוף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נבואתו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והיה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אשר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יקרא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ימלט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בהר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ציון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ובירושלים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תהיה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פליטה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כאשר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אמר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ובשרידים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אשר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קורא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שהאתחלתא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דגאולה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היא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ביעודו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דמשיח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יוסף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[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בספר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'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ליקוטי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הגר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דף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ובאר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יצחק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הפסוק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'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ופדויי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ישובון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']. (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ובכתבי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'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קול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התור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אחד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מתלמידי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הגר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הגאון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הלל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משקלוב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מרמז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בתיבת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'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בשרידים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בחושבנא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'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משיח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יוסף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שעל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ידו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קיבוץ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גלויות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)" ['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דורש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לציון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ט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-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יג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'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אמרות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טהורות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עמ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'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קסד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]</w:t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חרל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ממעייני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הישועה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קסו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 –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לשמה</w:t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יניקתה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כנסת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הנלמדת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המושג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ברוממות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ובגדולתה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והרחבתה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עומק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פליאותיה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ונצחיותה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עצמיותה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למטרה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שמחשבה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פשטותו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חקירה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וביתר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דגים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שעולין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ליבשה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שפורשין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לערכי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מגדולתה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ועצמיות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מושג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נשגב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שיעריכו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המושג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הערכה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מספיקה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בטבעה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הטהור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המטרה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נשגבה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מספיק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לצייר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תמונת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ואדרבה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ההסבר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לאהבת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הטבעית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ההסברים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ההרגשה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האמתיים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המושג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ההתרוממות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לתכונה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המדרגה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משתוקק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ותורתי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פתיחתות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התכונה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מספיקה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מספיקה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ביטול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ביטולה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ובעקבתא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דמשיחא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מתעוררות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מתכונתה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ומקורם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מתרצים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מבלעדי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ההרגשה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הרוממה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בקדושת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התחלפות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שמקימי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ולהסביר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התכונה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הנשגבה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שמבלעדם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הנצחי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  <w:cols w:equalWidth="0" w:num="3">
        <w:col w:space="708" w:w="4762.666666666666"/>
        <w:col w:space="708" w:w="4762.666666666666"/>
        <w:col w:space="0" w:w="4762.666666666666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