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FFE9" w14:textId="257C67B9" w:rsidR="004B2274" w:rsidRDefault="004B2274" w:rsidP="004B2274">
      <w:pPr>
        <w:spacing w:after="0" w:line="360" w:lineRule="auto"/>
        <w:jc w:val="both"/>
        <w:rPr>
          <w:rFonts w:ascii="David" w:hAnsi="David" w:cs="David"/>
          <w:sz w:val="20"/>
          <w:szCs w:val="20"/>
          <w:rtl/>
        </w:rPr>
      </w:pPr>
      <w:r>
        <w:rPr>
          <w:rFonts w:ascii="David" w:hAnsi="David" w:cs="David" w:hint="cs"/>
          <w:sz w:val="20"/>
          <w:szCs w:val="20"/>
          <w:rtl/>
        </w:rPr>
        <w:t xml:space="preserve">בס"ד  </w:t>
      </w:r>
      <w:r w:rsidR="00A80B30">
        <w:rPr>
          <w:rFonts w:ascii="David" w:hAnsi="David" w:cs="David" w:hint="cs"/>
          <w:sz w:val="20"/>
          <w:szCs w:val="20"/>
          <w:rtl/>
        </w:rPr>
        <w:t xml:space="preserve">                                               פרשת קרח / כתבי הרב ח</w:t>
      </w:r>
      <w:r w:rsidR="00816ED4">
        <w:rPr>
          <w:rFonts w:ascii="David" w:hAnsi="David" w:cs="David" w:hint="cs"/>
          <w:sz w:val="20"/>
          <w:szCs w:val="20"/>
          <w:rtl/>
        </w:rPr>
        <w:t>ר</w:t>
      </w:r>
      <w:r w:rsidR="00A80B30">
        <w:rPr>
          <w:rFonts w:ascii="David" w:hAnsi="David" w:cs="David" w:hint="cs"/>
          <w:sz w:val="20"/>
          <w:szCs w:val="20"/>
          <w:rtl/>
        </w:rPr>
        <w:t>ל"פ</w:t>
      </w:r>
      <w:r w:rsidR="007858B6">
        <w:rPr>
          <w:rFonts w:ascii="David" w:hAnsi="David" w:cs="David" w:hint="cs"/>
          <w:sz w:val="20"/>
          <w:szCs w:val="20"/>
          <w:rtl/>
        </w:rPr>
        <w:t>/ תשפ"ו</w:t>
      </w:r>
      <w:r>
        <w:rPr>
          <w:rFonts w:ascii="David" w:hAnsi="David" w:cs="David" w:hint="cs"/>
          <w:sz w:val="20"/>
          <w:szCs w:val="20"/>
          <w:rtl/>
        </w:rPr>
        <w:t xml:space="preserve">                            </w:t>
      </w:r>
    </w:p>
    <w:p w14:paraId="10FACF80" w14:textId="77777777" w:rsidR="004B2274" w:rsidRDefault="004B2274" w:rsidP="004B2274">
      <w:pPr>
        <w:spacing w:after="0" w:line="360" w:lineRule="auto"/>
        <w:jc w:val="both"/>
        <w:rPr>
          <w:rFonts w:ascii="David" w:hAnsi="David" w:cs="David"/>
          <w:sz w:val="20"/>
          <w:szCs w:val="20"/>
          <w:rtl/>
        </w:rPr>
      </w:pPr>
    </w:p>
    <w:p w14:paraId="76B7C538" w14:textId="11C7FA37" w:rsidR="00C81A63" w:rsidRPr="00C604F4" w:rsidRDefault="00C604F4" w:rsidP="00C604F4">
      <w:pPr>
        <w:spacing w:after="0" w:line="360" w:lineRule="auto"/>
        <w:jc w:val="center"/>
        <w:rPr>
          <w:rFonts w:ascii="David" w:hAnsi="David" w:cs="David"/>
          <w:b/>
          <w:bCs/>
          <w:sz w:val="28"/>
          <w:szCs w:val="28"/>
          <w:rtl/>
        </w:rPr>
      </w:pPr>
      <w:r w:rsidRPr="00C604F4">
        <w:rPr>
          <w:rFonts w:ascii="David" w:hAnsi="David" w:cs="David" w:hint="cs"/>
          <w:b/>
          <w:bCs/>
          <w:sz w:val="28"/>
          <w:szCs w:val="28"/>
          <w:rtl/>
        </w:rPr>
        <w:t>סכנת המפלגתיות</w:t>
      </w:r>
      <w:r w:rsidR="007443D8">
        <w:rPr>
          <w:rFonts w:ascii="David" w:hAnsi="David" w:cs="David" w:hint="cs"/>
          <w:b/>
          <w:bCs/>
          <w:sz w:val="28"/>
          <w:szCs w:val="28"/>
          <w:rtl/>
        </w:rPr>
        <w:t xml:space="preserve"> </w:t>
      </w:r>
      <w:r w:rsidR="00933D6E">
        <w:rPr>
          <w:rFonts w:ascii="David" w:hAnsi="David" w:cs="David" w:hint="cs"/>
          <w:b/>
          <w:bCs/>
          <w:sz w:val="28"/>
          <w:szCs w:val="28"/>
          <w:rtl/>
        </w:rPr>
        <w:t>ובמה תלויה מלכות בית דוד?</w:t>
      </w:r>
    </w:p>
    <w:p w14:paraId="24DC61FB" w14:textId="77777777" w:rsidR="00C604F4" w:rsidRDefault="00C604F4" w:rsidP="004B2274">
      <w:pPr>
        <w:spacing w:after="0" w:line="360" w:lineRule="auto"/>
        <w:jc w:val="both"/>
        <w:rPr>
          <w:rFonts w:ascii="David" w:hAnsi="David" w:cs="David"/>
          <w:sz w:val="20"/>
          <w:szCs w:val="20"/>
          <w:rtl/>
        </w:rPr>
      </w:pPr>
    </w:p>
    <w:p w14:paraId="75510546" w14:textId="77777777" w:rsidR="004B2274" w:rsidRPr="004B2274" w:rsidRDefault="004B2274" w:rsidP="004B2274">
      <w:pPr>
        <w:spacing w:after="0" w:line="360" w:lineRule="auto"/>
        <w:jc w:val="both"/>
        <w:rPr>
          <w:rFonts w:ascii="David" w:hAnsi="David" w:cs="David"/>
          <w:b/>
          <w:bCs/>
          <w:sz w:val="20"/>
          <w:szCs w:val="20"/>
          <w:u w:val="single"/>
          <w:rtl/>
        </w:rPr>
      </w:pPr>
      <w:r w:rsidRPr="004B2274">
        <w:rPr>
          <w:rFonts w:ascii="David" w:hAnsi="David" w:cs="David"/>
          <w:b/>
          <w:bCs/>
          <w:sz w:val="20"/>
          <w:szCs w:val="20"/>
          <w:u w:val="single"/>
          <w:rtl/>
        </w:rPr>
        <w:t>מי מרום (יא) שיחות על התורה במדבר / פרשת קרח / מאמר לב</w:t>
      </w:r>
    </w:p>
    <w:p w14:paraId="00F28A85"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קרח פגם באחדות ישראל </w:t>
      </w:r>
    </w:p>
    <w:p w14:paraId="73B8BED8"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לכל אדם ובריה יש תשוקה להגיע למדרגה היותר נשאה ורוממה, ואם מצוי זה בכח מוכרח שיוכל גם להתגלות בפועל, ואם יש חפץ בלב כל אדם להיות הכהן הגדול הנכנס לפני ולפנים, מוכרח גם שיוכל כל אחד להגיע לזה, אלא שצריך שתביא תשוקה זו להכיר אחדותם של ישראל הגוי הקדוש כולו, ואז אין מקום לקנאה, אז מבינים שאם אהרן הכהן הוא הנכנס לפני ולפנים, הרי כאילו כל אחד ואחד מישראל הגיע לזה ונכנס עמו, כפי שלא תקנא היד השמאלית בימנית כך לא יהיה מקום לקנאה של אישים המחולקים, כי כל הגדולה של אחד היא באמת של כל אחד ואחד. </w:t>
      </w:r>
    </w:p>
    <w:p w14:paraId="117E5CF5"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כל כך הוא מפני אחדותם של ישראל לפי שהם חלק ד' עמו, ומה הוא אחד אף עמו אחד, אולם בזה כפרו קרח ועדתו ועל כן תשוקתם להגיע למה שאהרן ומשה הגיעו, וכיון שבאמת כל תשוקה מלמדת כי יכולה היא גם להתגלות בפועל, שפטו מזה כי אין הכהונה מיוחדת לאהרן בלבד, "כי כל העדה כולם קדושים ובתוכם ד' ומדוע תתנשאו על קהל ד'". </w:t>
      </w:r>
    </w:p>
    <w:p w14:paraId="37C0E504"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זהו שאמרו במשנה [אבות פ"ה] "איזו היא מחלוקת שלא לשם שמים זו מחלוקת קרח ועדתו", ותימה וכי רק מחלוקת שלא לשם שמים יש פה, והלא כפרו בנבואת משה, נאמן ביתו של הקב"ה, אמנם גילתה המשנה פה את שרש ההסתבכות בפרשתנו, כי כל זמן שאין מבינים את רוממות האחדות הנפלאה של כל ישראל וכי את אביהם של ישראל עובדים כל העת, ובשם כל ישראל, בלתי אפשר שתהיה העבודה לשם שמים אלא כל דעבדין לגרמייהו עבדין, היינו שיסוד מחלוקתו של קרח שלקח עצמו לצד אחד [לשון רש"י כאן] להיות נחלק על הכהונה נובעת מתוך שכל מבוקשו היה על דבר עצמו בלבד בניתוק מכלל ישראל. </w:t>
      </w:r>
    </w:p>
    <w:p w14:paraId="6E2A3B6C" w14:textId="473AA66F" w:rsidR="004B2274" w:rsidRPr="004B2274" w:rsidRDefault="004B2274" w:rsidP="00247E4D">
      <w:pPr>
        <w:spacing w:after="0" w:line="360" w:lineRule="auto"/>
        <w:jc w:val="both"/>
        <w:rPr>
          <w:rFonts w:ascii="David" w:hAnsi="David" w:cs="David"/>
          <w:sz w:val="20"/>
          <w:szCs w:val="20"/>
          <w:rtl/>
        </w:rPr>
      </w:pPr>
      <w:r w:rsidRPr="004B2274">
        <w:rPr>
          <w:rFonts w:ascii="David" w:hAnsi="David" w:cs="David"/>
          <w:sz w:val="20"/>
          <w:szCs w:val="20"/>
          <w:rtl/>
        </w:rPr>
        <w:t xml:space="preserve"> </w:t>
      </w:r>
    </w:p>
    <w:p w14:paraId="65369DC3" w14:textId="77777777" w:rsidR="004B2274" w:rsidRPr="004B2274" w:rsidRDefault="004B2274" w:rsidP="004B2274">
      <w:pPr>
        <w:spacing w:after="0" w:line="360" w:lineRule="auto"/>
        <w:jc w:val="both"/>
        <w:rPr>
          <w:rFonts w:ascii="David" w:hAnsi="David" w:cs="David"/>
          <w:b/>
          <w:bCs/>
          <w:sz w:val="20"/>
          <w:szCs w:val="20"/>
          <w:u w:val="single"/>
          <w:rtl/>
        </w:rPr>
      </w:pPr>
      <w:r w:rsidRPr="004B2274">
        <w:rPr>
          <w:rFonts w:ascii="David" w:hAnsi="David" w:cs="David"/>
          <w:b/>
          <w:bCs/>
          <w:sz w:val="20"/>
          <w:szCs w:val="20"/>
          <w:u w:val="single"/>
          <w:rtl/>
        </w:rPr>
        <w:t>מי מרום (כ) אגרות קודש / רמג</w:t>
      </w:r>
    </w:p>
    <w:p w14:paraId="0CA185F7"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האגודה והמזרחי </w:t>
      </w:r>
    </w:p>
    <w:p w14:paraId="2B9D0B0E" w14:textId="1CC0A51B"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א. כל מילה של שלום משמח מאד, למרות כל הקשיים שיעמדו על הדרך. בכל זאת קווי ד' רוצים לראות בזה עקבות קיום היעוד "אז נדברו יראי ד' איש אל רעהו", והם בשביל כך ששים ושמחים לקראת כל צעד לזה, ומביטים על זה בעין טובה ובצפיית ישועה קרובה. </w:t>
      </w:r>
    </w:p>
    <w:p w14:paraId="42BDE603"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ב. ואם יש לדאוג, הוא איך אולי יבואו הסיעות להבנת אמת ולהבנה הדדית, כי אזי יש לחוש אולי מצד הטעות שכל אחד מהם יטעה בדמיונו באופן האיחוד, ישלפו הענינים ביותר ותגיע לידי מריבה יותר גדולה. </w:t>
      </w:r>
    </w:p>
    <w:p w14:paraId="0A2DD756" w14:textId="258AB8D4"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ג. עצם הפילוג בדעות אין ההפסד מזה כ"כ נורא, לפעמים אדרבה דוקא מתוך הפילוג, באים לתוך בירור והבנה כי יש מקום לכל דעה, וכל אחת מגנת על חברתה מזקקתה ומצרפתה, כדוגמת פילוגי הדעות בהלכה דמיניה ומיניה תסתיים שמעתתא, וכפלוגתת ב"ש וב"ה שחיבה ורעות נהגו זה בזה לקיים מה שנאמר "האמת והשלום אהבו", שדוקא מתוך שכל אחד אחז באמת שלו, הגיעו גם לשלום. </w:t>
      </w:r>
    </w:p>
    <w:p w14:paraId="1BAAB458"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האסון הוא רק כשהדעות מתפרדות למפלגות, כי אז עלול שכל מפלגה תשכח את יסוד המגמה שלה מצד הדעה ופונה עצמה להפילוג המפלגתי, ועל פי רוב אפילו אם המפלגה לא שכחה לגמרי את דעותיה ואשר בשבילה היתה צריכה ללחום, בכל זאת גילוי הריב לבין המפלגות הוא הרבה יותר מהמדה של הדעה ומזה סובלים מאד. </w:t>
      </w:r>
    </w:p>
    <w:p w14:paraId="7ED54CFC" w14:textId="55E16372"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ד. אם האיחוד הוא רק לרגלי המצבים שונים שהם הביאו לידי הכרח שהמפלגות ישבתו מריב, הנה באמת אין זה שלום רק שביתת הנשק, וגם האיחוד הוא רק ביחס גילוי הריב המפלגתי ולא ביחס ריב הדעות, וכמו בתחילה מתוך פילוג הדעות עלו קמשונים וכסו חרולים, כן עלול גם עתה שיחזרו ויצמחו אותם הקוצים שלא נכרתו משרשם, ואהבת המפלגתיות תפרוץ שוב למשטמות אחים. </w:t>
      </w:r>
    </w:p>
    <w:p w14:paraId="57F76884" w14:textId="42B102BA"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ה. השלום האמיתי הוא שלמרות כל הקמשונים שעלו לפי השקפת כל מפלגה על השניה, יכירו שניהם בצד הטוב שיש בכל אחת. האגודה תכיר בטוב הנמצא במזרחי מצד פעולתה לבנין הארץ ותקומתה, למרות כל הליקויים שהיא רואה בו לפי דעתה, (שהרי כן באמת תפקידו של המזרחי להציל את התנועה הציונית, שאיך שנתייחס לה לא נוכל להכחיש כי יד ד' לעורר את הרחוקים שיזכרו מרחוק את עמם ואת מולדתם, ולתקן מה שפגמו לפנים במאיסת ארץ חמדה, לפעול עליהם שכשם שבחלו בגלות כן יתקרבו אל הגאולה גאולת הגוף והנפש גם יחד, ומבלי לעזוב את כל ארץ ארצינו הקדושה בידים לא טהורות, ושלפי תפקיד זה של המזרחי לא היה זקוק להכנע תחת המגרעות של הציונות רק להצליף את הנקודה הטובה הזאת ולהביא ברכה להם ולכל יראי ד' חבריהם הרוצים לראות בבנין ציון תקומתם של ישראל וכל קדשיו). והמזרחי צריך שיכיר במגמותיה של האגודה למרות כל הליקויים שמצאו בה (מצד הפרזתה על המדה וקצוניות רגזנותה ומצד התרחקותה - לפי דמיונה - לגונן על הקיים שלא יסחבו בעבודת הבנין והתקומה אחר זרמי החול, יש בה גרעין טוב להגן על יסודות קיומנו לבלי להסחב לזרמי החול על ידי ריבוי המצוקות ותוקף הדחיפה להפטר מן הגלויות). </w:t>
      </w:r>
    </w:p>
    <w:p w14:paraId="49716B4A"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ו. אם היו מכירים את הפנימיות האמיתית מזה ומזה, או יותר נכון אם כל מפלגה תכיר את עצמה ושניהם יעבדו לשם שמים ויסירו את המשטמה ויקיימו "האמת והשלום אהבו", וכשישבו לשולחן העגול ישכחו בכל העבר שביניהם וישימו לבבם להפגש יחד, אך רק מצד נקודת היראת שמים של כל אחת ואחת, שעל ידי זה יתקיים בהם "אז נדברו יראי ד' איש אל רעהו", שלא יהיה הדיבור מפלגתי רק דבור יראת השם, ושניהם יחושו יתאזרו באהבת ד' ותורתו, אהבת ישראל וארצו, אז בטח ימצאו דרכים של קודש להחיש פעמי גאולתנו בשלום ובמישור. </w:t>
      </w:r>
    </w:p>
    <w:p w14:paraId="1F2DDFD5" w14:textId="0CBB815D" w:rsid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ז. אליהו לא בא לרחק אלא לקרב</w:t>
      </w:r>
      <w:r w:rsidR="00A80B30">
        <w:rPr>
          <w:rStyle w:val="af0"/>
          <w:rFonts w:ascii="David" w:hAnsi="David" w:cs="David"/>
          <w:sz w:val="20"/>
          <w:szCs w:val="20"/>
          <w:rtl/>
        </w:rPr>
        <w:footnoteReference w:id="1"/>
      </w:r>
      <w:r w:rsidRPr="004B2274">
        <w:rPr>
          <w:rFonts w:ascii="David" w:hAnsi="David" w:cs="David"/>
          <w:sz w:val="20"/>
          <w:szCs w:val="20"/>
          <w:rtl/>
        </w:rPr>
        <w:t xml:space="preserve">, עבודת אליהו לגלות את הגרעין הקדוש שבכל מפלגה וממילא יתקרבו ולא יתרחקו. </w:t>
      </w:r>
    </w:p>
    <w:p w14:paraId="1D354FBE" w14:textId="77777777" w:rsidR="005E2D18" w:rsidRDefault="005E2D18" w:rsidP="004B2274">
      <w:pPr>
        <w:spacing w:after="0" w:line="360" w:lineRule="auto"/>
        <w:jc w:val="both"/>
        <w:rPr>
          <w:rFonts w:ascii="David" w:hAnsi="David" w:cs="David"/>
          <w:sz w:val="20"/>
          <w:szCs w:val="20"/>
          <w:rtl/>
        </w:rPr>
      </w:pPr>
    </w:p>
    <w:p w14:paraId="1F40E3B8" w14:textId="76061F85" w:rsidR="005E2D18" w:rsidRPr="005E2D18" w:rsidRDefault="005E2D18" w:rsidP="005E2D18">
      <w:pPr>
        <w:spacing w:after="0" w:line="360" w:lineRule="auto"/>
        <w:jc w:val="both"/>
        <w:rPr>
          <w:rFonts w:ascii="David" w:hAnsi="David" w:cs="David"/>
          <w:sz w:val="20"/>
          <w:szCs w:val="20"/>
          <w:u w:val="single"/>
          <w:rtl/>
        </w:rPr>
      </w:pPr>
      <w:r w:rsidRPr="005E2D18">
        <w:rPr>
          <w:rFonts w:ascii="David" w:hAnsi="David" w:cs="David"/>
          <w:bCs/>
          <w:sz w:val="20"/>
          <w:szCs w:val="20"/>
          <w:u w:val="single"/>
          <w:rtl/>
        </w:rPr>
        <w:t>מי מרום (ו) ממעיני הישועה / חלק ב - בעקבתא דמשיחא / פרק סט</w:t>
      </w:r>
      <w:r w:rsidRPr="005E2D18">
        <w:rPr>
          <w:rFonts w:ascii="David" w:hAnsi="David" w:cs="David" w:hint="cs"/>
          <w:bCs/>
          <w:sz w:val="20"/>
          <w:szCs w:val="20"/>
          <w:u w:val="single"/>
          <w:rtl/>
        </w:rPr>
        <w:t xml:space="preserve"> / </w:t>
      </w:r>
      <w:r w:rsidRPr="005E2D18">
        <w:rPr>
          <w:rFonts w:ascii="David" w:hAnsi="David" w:cs="David"/>
          <w:bCs/>
          <w:sz w:val="20"/>
          <w:szCs w:val="20"/>
          <w:u w:val="single"/>
          <w:rtl/>
        </w:rPr>
        <w:t>הבטה בעין יפה</w:t>
      </w:r>
      <w:r w:rsidRPr="005E2D18">
        <w:rPr>
          <w:rFonts w:ascii="David" w:hAnsi="David" w:cs="David"/>
          <w:sz w:val="20"/>
          <w:szCs w:val="20"/>
          <w:u w:val="single"/>
          <w:rtl/>
        </w:rPr>
        <w:t xml:space="preserve"> </w:t>
      </w:r>
    </w:p>
    <w:p w14:paraId="176CDDFE" w14:textId="77777777" w:rsidR="005E2D18" w:rsidRPr="00565C54" w:rsidRDefault="005E2D18" w:rsidP="005E2D18">
      <w:pPr>
        <w:spacing w:after="0" w:line="360" w:lineRule="auto"/>
        <w:jc w:val="both"/>
        <w:rPr>
          <w:rFonts w:ascii="David" w:hAnsi="David" w:cs="David"/>
          <w:sz w:val="20"/>
          <w:szCs w:val="20"/>
          <w:rtl/>
        </w:rPr>
      </w:pPr>
      <w:r w:rsidRPr="00565C54">
        <w:rPr>
          <w:rFonts w:ascii="David" w:hAnsi="David" w:cs="David"/>
          <w:sz w:val="20"/>
          <w:szCs w:val="20"/>
          <w:rtl/>
        </w:rPr>
        <w:t xml:space="preserve">(מתוך מכתב) </w:t>
      </w:r>
    </w:p>
    <w:p w14:paraId="468D0C13" w14:textId="77777777" w:rsidR="005E2D18" w:rsidRPr="00565C54" w:rsidRDefault="005E2D18" w:rsidP="005E2D18">
      <w:pPr>
        <w:spacing w:after="0" w:line="360" w:lineRule="auto"/>
        <w:jc w:val="both"/>
        <w:rPr>
          <w:rFonts w:ascii="David" w:hAnsi="David" w:cs="David"/>
          <w:sz w:val="20"/>
          <w:szCs w:val="20"/>
          <w:rtl/>
        </w:rPr>
      </w:pPr>
      <w:r w:rsidRPr="00565C54">
        <w:rPr>
          <w:rFonts w:ascii="David" w:hAnsi="David" w:cs="David"/>
          <w:sz w:val="20"/>
          <w:szCs w:val="20"/>
          <w:rtl/>
        </w:rPr>
        <w:t xml:space="preserve">לו גם אם נכון הדבר, שנחלשה אצל יראי ד' ההתלהטות לבנין האומה וכל קניניה הלאומיים, אין לגולל האשמה עליהם עצמם, ויש לתלות הקולר ביותר על אלו המתרחקים מכל קודש, שמתוך זה הם הם הדוחים בשאט נפש לכל שבטי ישראל לבל ירצו לנגוע בהם, ובשביל זה יתכן שמותרים על הקנינים האלה, ובלבד שלא לותר על קיומה של האמונה, קיומן של התורה והמצוה. </w:t>
      </w:r>
    </w:p>
    <w:p w14:paraId="2C151496" w14:textId="77777777" w:rsidR="005E2D18" w:rsidRPr="00565C54" w:rsidRDefault="005E2D18" w:rsidP="005E2D18">
      <w:pPr>
        <w:spacing w:after="0" w:line="360" w:lineRule="auto"/>
        <w:jc w:val="both"/>
        <w:rPr>
          <w:rFonts w:ascii="David" w:hAnsi="David" w:cs="David"/>
          <w:sz w:val="20"/>
          <w:szCs w:val="20"/>
          <w:rtl/>
        </w:rPr>
      </w:pPr>
      <w:r w:rsidRPr="00565C54">
        <w:rPr>
          <w:rFonts w:ascii="David" w:hAnsi="David" w:cs="David"/>
          <w:sz w:val="20"/>
          <w:szCs w:val="20"/>
          <w:rtl/>
        </w:rPr>
        <w:t xml:space="preserve">ולעומת זה, גם את הנאורים ואת המתפקרים, אין כל כך מקום לחיבם, כי שכורים הם מהמצות הכלליות, קניני האומה, בנינה ותפארתה, בארצה ובמולדתה, בלשונה ובשפתה, ומתוך השכרות הגדולה הלזו, יש ששוכחים ומסיחים דעת מיתר החיובים, - אלא כשם שבאדם הפרטי, שיש בו מאברים שהנשמה תלויה בהם, הרי כל ויתור על אחד מהם הוא חדלון בחיים - כמו כן הויתור על תורה ומצות, לא יוכל להתמלא על ידי החזוק בדברים אחרים, גם אם אף בהם תלויים חיי נשמת ישראל. </w:t>
      </w:r>
    </w:p>
    <w:p w14:paraId="3FC3969C" w14:textId="77777777" w:rsidR="005E2D18" w:rsidRPr="00565C54" w:rsidRDefault="005E2D18" w:rsidP="005E2D18">
      <w:pPr>
        <w:spacing w:after="0" w:line="360" w:lineRule="auto"/>
        <w:jc w:val="both"/>
        <w:rPr>
          <w:rFonts w:ascii="David" w:hAnsi="David" w:cs="David"/>
          <w:sz w:val="20"/>
          <w:szCs w:val="20"/>
          <w:rtl/>
        </w:rPr>
      </w:pPr>
      <w:r w:rsidRPr="00565C54">
        <w:rPr>
          <w:rFonts w:ascii="David" w:hAnsi="David" w:cs="David"/>
          <w:sz w:val="20"/>
          <w:szCs w:val="20"/>
          <w:rtl/>
        </w:rPr>
        <w:t xml:space="preserve">לזאת, הפתרון הטוב תלוי בשני הצדדים, שכל אחד יאשים את עצמו ולא להטיל כל הקולר רק על חברו, ששניהם ישתדלו להביט איש על חברו בעין יפה, לראות ולהעריך תמיד, את הצד הטוב שבזולת, להבין שיחתם וללמוד תמיד גם את הטוב שבצד השני, ובזה יתוקן עולם במלכות שדי. </w:t>
      </w:r>
    </w:p>
    <w:p w14:paraId="4D75A986" w14:textId="77777777" w:rsidR="005E2D18" w:rsidRPr="00565C54" w:rsidRDefault="005E2D18" w:rsidP="005E2D18">
      <w:pPr>
        <w:spacing w:after="0" w:line="360" w:lineRule="auto"/>
        <w:jc w:val="both"/>
        <w:rPr>
          <w:rFonts w:ascii="David" w:hAnsi="David" w:cs="David"/>
          <w:sz w:val="20"/>
          <w:szCs w:val="20"/>
          <w:rtl/>
        </w:rPr>
      </w:pPr>
      <w:r w:rsidRPr="00565C54">
        <w:rPr>
          <w:rFonts w:ascii="David" w:hAnsi="David" w:cs="David"/>
          <w:sz w:val="20"/>
          <w:szCs w:val="20"/>
          <w:rtl/>
        </w:rPr>
        <w:t xml:space="preserve">ויש לדעת כי אף הקטגוריא שבין אחד לחברו בשבטי ישראל, אין למודדה באמת הבנין הרגילה והפשוטה שבשאר העמים, בישראל גם כל בקורת, כל שנאה וקנאה, כולן מיסוד התוכחה הן נובעות, חיבת הקדש של: "הוכח תוכיח את עמיתך" (ויקרא יט, יז) חדורה כ"כ בישראל, עד שגם אלה הערומים ממצות, לא יוכלו להשתחרר ממנה, ומתגלית חובה זו בצורת בקורת, קטגוריא, ריב ומחלוקת, ולפעמים גם בצורה של שנאה, ובאמת הם יסודות של תוכחה, והצורה של הבקורת שונה היא, מי במילי דשמיא ומי במילי דעלמא. ואם באמת היו מקשיבים לבקורת הנכונה, היתה כל צורתה החצונה של הקטגוריא והריב מסתלקת, והיה נדלף ועולה שורש שרשם, מצות התוכחה, וזה היה מביא לידי פלוש את החוק המיוחד לישראל: "ואהבת לרעך כמוך" (שם שם, יח). </w:t>
      </w:r>
    </w:p>
    <w:p w14:paraId="3DF0C213" w14:textId="77777777" w:rsidR="004B2274" w:rsidRPr="004B2274" w:rsidRDefault="004B2274" w:rsidP="004B2274">
      <w:pPr>
        <w:spacing w:after="0" w:line="360" w:lineRule="auto"/>
        <w:jc w:val="both"/>
        <w:rPr>
          <w:rFonts w:ascii="David" w:hAnsi="David" w:cs="David"/>
          <w:sz w:val="20"/>
          <w:szCs w:val="20"/>
          <w:rtl/>
        </w:rPr>
      </w:pPr>
      <w:r w:rsidRPr="004B2274">
        <w:rPr>
          <w:rFonts w:ascii="David" w:hAnsi="David" w:cs="David"/>
          <w:sz w:val="20"/>
          <w:szCs w:val="20"/>
          <w:rtl/>
        </w:rPr>
        <w:t xml:space="preserve"> </w:t>
      </w:r>
    </w:p>
    <w:p w14:paraId="647D3C63" w14:textId="77777777" w:rsidR="00247E4D" w:rsidRPr="00247E4D" w:rsidRDefault="00247E4D" w:rsidP="00247E4D">
      <w:pPr>
        <w:spacing w:after="0" w:line="360" w:lineRule="auto"/>
        <w:jc w:val="both"/>
        <w:rPr>
          <w:rFonts w:ascii="David" w:hAnsi="David" w:cs="David"/>
          <w:b/>
          <w:bCs/>
          <w:sz w:val="20"/>
          <w:szCs w:val="20"/>
          <w:u w:val="single"/>
          <w:rtl/>
        </w:rPr>
      </w:pPr>
      <w:r w:rsidRPr="00247E4D">
        <w:rPr>
          <w:rFonts w:ascii="David" w:hAnsi="David" w:cs="David"/>
          <w:b/>
          <w:bCs/>
          <w:sz w:val="20"/>
          <w:szCs w:val="20"/>
          <w:u w:val="single"/>
          <w:rtl/>
        </w:rPr>
        <w:t>תלמוד בבלי מסכת ברכות דף ו עמוד ב</w:t>
      </w:r>
    </w:p>
    <w:p w14:paraId="61CE022D" w14:textId="338290AC" w:rsidR="00247E4D" w:rsidRPr="00247E4D" w:rsidRDefault="00247E4D" w:rsidP="00247E4D">
      <w:pPr>
        <w:spacing w:after="0" w:line="360" w:lineRule="auto"/>
        <w:jc w:val="both"/>
        <w:rPr>
          <w:rFonts w:ascii="David" w:hAnsi="David" w:cs="David"/>
          <w:sz w:val="20"/>
          <w:szCs w:val="20"/>
        </w:rPr>
      </w:pPr>
      <w:r w:rsidRPr="00247E4D">
        <w:rPr>
          <w:rFonts w:ascii="David" w:hAnsi="David" w:cs="David"/>
          <w:sz w:val="20"/>
          <w:szCs w:val="20"/>
          <w:rtl/>
        </w:rPr>
        <w:t>ואמר רבי חלבו אמר רב הונא: כל אדם שיש בו יראת שמים - דבריו נשמעין, שנאמר: סוף דבר הכל נשמע את האלהים ירא וגו'.</w:t>
      </w:r>
    </w:p>
    <w:p w14:paraId="355DB763" w14:textId="77777777" w:rsidR="005E2D18" w:rsidRDefault="005E2D18" w:rsidP="00247E4D">
      <w:pPr>
        <w:spacing w:after="0" w:line="360" w:lineRule="auto"/>
        <w:jc w:val="both"/>
        <w:rPr>
          <w:rFonts w:ascii="David" w:hAnsi="David" w:cs="David"/>
          <w:bCs/>
          <w:sz w:val="20"/>
          <w:szCs w:val="20"/>
          <w:rtl/>
        </w:rPr>
      </w:pPr>
    </w:p>
    <w:p w14:paraId="3A1B6BB0" w14:textId="77777777" w:rsidR="00247E4D" w:rsidRPr="00247E4D" w:rsidRDefault="00247E4D" w:rsidP="00247E4D">
      <w:pPr>
        <w:spacing w:after="0" w:line="360" w:lineRule="auto"/>
        <w:jc w:val="both"/>
        <w:rPr>
          <w:rFonts w:ascii="David" w:hAnsi="David" w:cs="David"/>
          <w:bCs/>
          <w:sz w:val="20"/>
          <w:szCs w:val="20"/>
          <w:u w:val="single"/>
          <w:rtl/>
        </w:rPr>
      </w:pPr>
      <w:r w:rsidRPr="00247E4D">
        <w:rPr>
          <w:rFonts w:ascii="David" w:hAnsi="David" w:cs="David"/>
          <w:bCs/>
          <w:sz w:val="20"/>
          <w:szCs w:val="20"/>
          <w:u w:val="single"/>
          <w:rtl/>
        </w:rPr>
        <w:t>עין איה / ברכות א / פרק ראשון-מאימתי / סד. ברכות ו/ב</w:t>
      </w:r>
    </w:p>
    <w:p w14:paraId="35A7F8F2" w14:textId="77777777" w:rsidR="00247E4D" w:rsidRDefault="00247E4D" w:rsidP="00247E4D">
      <w:pPr>
        <w:spacing w:after="0" w:line="360" w:lineRule="auto"/>
        <w:jc w:val="both"/>
        <w:rPr>
          <w:rFonts w:ascii="David" w:hAnsi="David" w:cs="David"/>
          <w:sz w:val="20"/>
          <w:szCs w:val="20"/>
          <w:rtl/>
        </w:rPr>
      </w:pPr>
      <w:r w:rsidRPr="00247E4D">
        <w:rPr>
          <w:rFonts w:ascii="David" w:hAnsi="David" w:cs="David"/>
          <w:sz w:val="20"/>
          <w:szCs w:val="20"/>
          <w:rtl/>
        </w:rPr>
        <w:t xml:space="preserve">כל אדם שי"ב יראת שמים דבריו נשמעים, שנאמר סוף דבר הכל נשמע את האלקים ירא, בכל מחקר יש שם ההצעות איך שבאים אל תכלית המבוקש, והמבוקש בעצמו. ועיקר הכל מה שהוא ראוי לקבל הוא רק התכלית המבוקשי ולא ההצעות. ע"כ כל החכמות המה רק הצעות לתכלית האמיתי המושג מהם, שהוא יראת שמים. ע"כ מי שיש בידו המסקנא, אע"פ שאינו עשיר כ"כ בהצעות, מ"מ דבריו נשמעים. שבטבע הנפשות יש סגולה להיות נכנעים למי שעלה בידו התכלית המושקף מכל המחקרים. וזהו פי' סוף דבר הכל נשמע, שהמסקנא היא העיקר, והיא את האלקים ירא, ע"כ דבריו נשמעים. </w:t>
      </w:r>
    </w:p>
    <w:p w14:paraId="57070D7E" w14:textId="77777777" w:rsidR="005E2D18" w:rsidRDefault="005E2D18" w:rsidP="00247E4D">
      <w:pPr>
        <w:spacing w:after="0" w:line="360" w:lineRule="auto"/>
        <w:jc w:val="both"/>
        <w:rPr>
          <w:rFonts w:ascii="David" w:hAnsi="David" w:cs="David"/>
          <w:sz w:val="20"/>
          <w:szCs w:val="20"/>
          <w:rtl/>
        </w:rPr>
      </w:pPr>
    </w:p>
    <w:p w14:paraId="090DF63B" w14:textId="77777777" w:rsidR="007858B6" w:rsidRDefault="007858B6" w:rsidP="00247E4D">
      <w:pPr>
        <w:spacing w:after="0" w:line="360" w:lineRule="auto"/>
        <w:jc w:val="both"/>
        <w:rPr>
          <w:rFonts w:ascii="David" w:hAnsi="David" w:cs="David"/>
          <w:sz w:val="20"/>
          <w:szCs w:val="20"/>
          <w:rtl/>
        </w:rPr>
      </w:pPr>
    </w:p>
    <w:p w14:paraId="198F9B5F" w14:textId="77777777" w:rsidR="007858B6" w:rsidRDefault="007858B6" w:rsidP="00247E4D">
      <w:pPr>
        <w:spacing w:after="0" w:line="360" w:lineRule="auto"/>
        <w:jc w:val="both"/>
        <w:rPr>
          <w:rFonts w:ascii="David" w:hAnsi="David" w:cs="David"/>
          <w:sz w:val="20"/>
          <w:szCs w:val="20"/>
          <w:rtl/>
        </w:rPr>
      </w:pPr>
    </w:p>
    <w:p w14:paraId="3DD73C95" w14:textId="77777777" w:rsidR="007858B6" w:rsidRDefault="007858B6" w:rsidP="00247E4D">
      <w:pPr>
        <w:spacing w:after="0" w:line="360" w:lineRule="auto"/>
        <w:jc w:val="both"/>
        <w:rPr>
          <w:rFonts w:ascii="David" w:hAnsi="David" w:cs="David"/>
          <w:sz w:val="20"/>
          <w:szCs w:val="20"/>
          <w:rtl/>
        </w:rPr>
      </w:pPr>
    </w:p>
    <w:p w14:paraId="206282D5" w14:textId="77777777" w:rsidR="005E2D18" w:rsidRPr="00247E4D" w:rsidRDefault="005E2D18" w:rsidP="005E2D18">
      <w:pPr>
        <w:spacing w:after="0" w:line="360" w:lineRule="auto"/>
        <w:jc w:val="both"/>
        <w:rPr>
          <w:rFonts w:ascii="David" w:hAnsi="David" w:cs="David"/>
          <w:bCs/>
          <w:sz w:val="20"/>
          <w:szCs w:val="20"/>
          <w:u w:val="single"/>
          <w:rtl/>
        </w:rPr>
      </w:pPr>
      <w:r>
        <w:rPr>
          <w:rFonts w:ascii="David" w:hAnsi="David" w:cs="David" w:hint="cs"/>
          <w:bCs/>
          <w:sz w:val="20"/>
          <w:szCs w:val="20"/>
          <w:u w:val="single"/>
          <w:rtl/>
        </w:rPr>
        <w:t xml:space="preserve">הרצי"ה / </w:t>
      </w:r>
      <w:r w:rsidRPr="00247E4D">
        <w:rPr>
          <w:rFonts w:ascii="David" w:hAnsi="David" w:cs="David"/>
          <w:bCs/>
          <w:sz w:val="20"/>
          <w:szCs w:val="20"/>
          <w:u w:val="single"/>
          <w:rtl/>
        </w:rPr>
        <w:t>אור לנתיבתי / ג. ליראת שמים</w:t>
      </w:r>
    </w:p>
    <w:p w14:paraId="7E41E01F" w14:textId="77777777" w:rsidR="005E2D18" w:rsidRPr="00247E4D" w:rsidRDefault="005E2D18" w:rsidP="005E2D18">
      <w:pPr>
        <w:spacing w:after="0" w:line="360" w:lineRule="auto"/>
        <w:jc w:val="both"/>
        <w:rPr>
          <w:rFonts w:ascii="David" w:hAnsi="David" w:cs="David"/>
          <w:b/>
          <w:sz w:val="20"/>
          <w:szCs w:val="20"/>
          <w:rtl/>
        </w:rPr>
      </w:pPr>
      <w:r w:rsidRPr="00247E4D">
        <w:rPr>
          <w:rFonts w:ascii="David" w:hAnsi="David" w:cs="David"/>
          <w:b/>
          <w:sz w:val="20"/>
          <w:szCs w:val="20"/>
          <w:rtl/>
        </w:rPr>
        <w:t xml:space="preserve">ג. לְיִרְאַת שָמַיִם </w:t>
      </w:r>
    </w:p>
    <w:p w14:paraId="403FEEB0" w14:textId="77777777" w:rsidR="005E2D18" w:rsidRPr="00247E4D" w:rsidRDefault="005E2D18" w:rsidP="005E2D18">
      <w:pPr>
        <w:spacing w:after="0" w:line="360" w:lineRule="auto"/>
        <w:jc w:val="both"/>
        <w:rPr>
          <w:rFonts w:ascii="David" w:hAnsi="David" w:cs="David"/>
          <w:b/>
          <w:sz w:val="20"/>
          <w:szCs w:val="20"/>
          <w:rtl/>
        </w:rPr>
      </w:pPr>
      <w:r w:rsidRPr="00247E4D">
        <w:rPr>
          <w:rFonts w:ascii="David" w:hAnsi="David" w:cs="David"/>
          <w:b/>
          <w:sz w:val="20"/>
          <w:szCs w:val="20"/>
          <w:rtl/>
        </w:rPr>
        <w:t xml:space="preserve">כל מי שיש בו יראת שמים דבריו נשמעים. בכלל זה והיסוד לזה הוא שיהיו דבריו נשמעים לו לעצמו. כי כמה פעמים וכמה אנשים שמכירים, בהבנה והרגשה, דברים ישרים ונכוחים, להנהגת דרכי החיים, אבל חסר העז והאומץ הראוי לשלטון המישרים, שיהיו הדברים נשמעים להם לעצמם להוציאם לפועל ממש ולקביעות מעשה. וכפי אותה המדה שיש בו יראת שמים כך נקבע בו, מתוך יסוד הקשור הפנימי והכולל למעלה, העז והאומץ הנכון למהלך רוחו ודרכי חייו שיהיו דבריו נשמעים לו עצמו. וכפי אותה המדה דבריו נשמעים גם לאחרים. יחנני ד' לשמור ולעשות כן. </w:t>
      </w:r>
    </w:p>
    <w:p w14:paraId="0D97DF6F" w14:textId="77777777" w:rsidR="004B2274" w:rsidRPr="004B2274" w:rsidRDefault="004B2274" w:rsidP="004B2274">
      <w:pPr>
        <w:spacing w:after="0" w:line="360" w:lineRule="auto"/>
        <w:jc w:val="both"/>
        <w:rPr>
          <w:rFonts w:ascii="David" w:hAnsi="David" w:cs="David"/>
          <w:sz w:val="20"/>
          <w:szCs w:val="20"/>
          <w:rtl/>
        </w:rPr>
      </w:pPr>
    </w:p>
    <w:p w14:paraId="1ABDB9C0" w14:textId="77777777" w:rsidR="004B2274" w:rsidRPr="005E2D18" w:rsidRDefault="004B2274" w:rsidP="004B2274">
      <w:pPr>
        <w:spacing w:after="0" w:line="360" w:lineRule="auto"/>
        <w:jc w:val="both"/>
        <w:rPr>
          <w:rFonts w:ascii="David" w:hAnsi="David" w:cs="David"/>
          <w:bCs/>
          <w:sz w:val="20"/>
          <w:szCs w:val="20"/>
          <w:u w:val="single"/>
          <w:rtl/>
        </w:rPr>
      </w:pPr>
      <w:r w:rsidRPr="005E2D18">
        <w:rPr>
          <w:rFonts w:ascii="David" w:hAnsi="David" w:cs="David"/>
          <w:bCs/>
          <w:sz w:val="20"/>
          <w:szCs w:val="20"/>
          <w:u w:val="single"/>
          <w:rtl/>
        </w:rPr>
        <w:t>מי מרום (ג) לחם אבירים / לחם אבירים חלק ב / פרק י</w:t>
      </w:r>
    </w:p>
    <w:p w14:paraId="7B8BB3D8" w14:textId="77777777" w:rsidR="004B2274" w:rsidRPr="00C36500" w:rsidRDefault="004B2274" w:rsidP="004B2274">
      <w:pPr>
        <w:spacing w:after="0" w:line="360" w:lineRule="auto"/>
        <w:jc w:val="both"/>
        <w:rPr>
          <w:rFonts w:ascii="David" w:hAnsi="David" w:cs="David"/>
          <w:bCs/>
          <w:sz w:val="16"/>
          <w:szCs w:val="16"/>
          <w:rtl/>
        </w:rPr>
      </w:pPr>
      <w:r w:rsidRPr="00C36500">
        <w:rPr>
          <w:rFonts w:ascii="David" w:hAnsi="David" w:cs="David"/>
          <w:bCs/>
          <w:sz w:val="16"/>
          <w:szCs w:val="16"/>
          <w:rtl/>
        </w:rPr>
        <w:t xml:space="preserve">התפרצות הפרטים בעקבתא דמשיחא באה לתקונה ע"י בן פרצי </w:t>
      </w:r>
    </w:p>
    <w:p w14:paraId="397F4F0B" w14:textId="77777777" w:rsidR="004B2274" w:rsidRPr="00C36500" w:rsidRDefault="004B2274" w:rsidP="004B2274">
      <w:pPr>
        <w:spacing w:after="0" w:line="360" w:lineRule="auto"/>
        <w:jc w:val="both"/>
        <w:rPr>
          <w:rFonts w:ascii="David" w:hAnsi="David" w:cs="David"/>
          <w:bCs/>
          <w:sz w:val="16"/>
          <w:szCs w:val="16"/>
          <w:rtl/>
        </w:rPr>
      </w:pPr>
      <w:r w:rsidRPr="00C36500">
        <w:rPr>
          <w:rFonts w:ascii="David" w:hAnsi="David" w:cs="David"/>
          <w:bCs/>
          <w:sz w:val="16"/>
          <w:szCs w:val="16"/>
          <w:rtl/>
        </w:rPr>
        <w:t xml:space="preserve">בעקבות הבקוש להתמלאות החסרונות שבעקבתא דמשיחא, מתפרצים הפרטים בבקשם כ"א את תקונו, ומתגלים הנגודים שהם בחינת בן פרצי בעולם. </w:t>
      </w:r>
    </w:p>
    <w:p w14:paraId="64083049" w14:textId="77777777" w:rsidR="004B2274" w:rsidRPr="00C36500" w:rsidRDefault="004B2274" w:rsidP="004B2274">
      <w:pPr>
        <w:spacing w:after="0" w:line="360" w:lineRule="auto"/>
        <w:jc w:val="both"/>
        <w:rPr>
          <w:rFonts w:ascii="David" w:hAnsi="David" w:cs="David"/>
          <w:bCs/>
          <w:sz w:val="16"/>
          <w:szCs w:val="16"/>
          <w:rtl/>
        </w:rPr>
      </w:pPr>
      <w:r w:rsidRPr="00C36500">
        <w:rPr>
          <w:rFonts w:ascii="David" w:hAnsi="David" w:cs="David"/>
          <w:bCs/>
          <w:sz w:val="16"/>
          <w:szCs w:val="16"/>
          <w:rtl/>
        </w:rPr>
        <w:t xml:space="preserve">העצה היחידה למציאות זו הוא גילוי מלכות בית דוד בעולם. קרואים המה תלמידי החכמים להרבות שלום בעולם, לבקש את אלוקיהם ואת דוד מלכם, בביסוס הדעות הטובות ובהפרדת הקמשונים שעלו בהן ע"י התפשטותן. עבודה קשה היא, ורק על ידה מאיר אורו של משיח בכל. תושלם עבודה זו רק בידי בן דוד בעצמו. </w:t>
      </w:r>
    </w:p>
    <w:p w14:paraId="293151D0" w14:textId="77777777" w:rsidR="004B2274" w:rsidRPr="00565C54" w:rsidRDefault="004B2274" w:rsidP="004B2274">
      <w:pPr>
        <w:spacing w:after="0" w:line="360" w:lineRule="auto"/>
        <w:jc w:val="both"/>
        <w:rPr>
          <w:rFonts w:ascii="David" w:hAnsi="David" w:cs="David"/>
          <w:sz w:val="20"/>
          <w:szCs w:val="20"/>
          <w:rtl/>
        </w:rPr>
      </w:pPr>
      <w:r w:rsidRPr="00565C54">
        <w:rPr>
          <w:rFonts w:ascii="David" w:hAnsi="David" w:cs="David"/>
          <w:sz w:val="20"/>
          <w:szCs w:val="20"/>
          <w:rtl/>
        </w:rPr>
        <w:t xml:space="preserve">מתוך ביקוש ההתמלאות לכל החסרונות מגיע הדבר כי בעקבתא דמשיחא דור של בן פרצי מתפרצים כל הפרטים וכל הדיעות ומבקשים את תיקונם, שכלולם והדר שלימותם ולהיות פרטים ככללים. התפרצות זו מובלטת בצורה של נגודים בין דיעה לדיעה, בין מפלגה למפלגה ובין איש לאיש, ולפני התגלות מוראת המלכות "איש את רעהו חיים בלעו" (אבות פ"ג מ"ב), והמילדת צווחת: "מה פרצת עליך פרץ" (בראשית לח, כט) ובכל זאת קושרת עליו שני וממנה בן דוד יוצא, "ימין ושמאל תפרוצי ואת ד' תעריצי על יד איש בן פרצי ונשמחה ונגילה". </w:t>
      </w:r>
    </w:p>
    <w:p w14:paraId="641C649D" w14:textId="77777777" w:rsidR="004B2274" w:rsidRPr="00565C54" w:rsidRDefault="004B2274" w:rsidP="004B2274">
      <w:pPr>
        <w:spacing w:after="0" w:line="360" w:lineRule="auto"/>
        <w:jc w:val="both"/>
        <w:rPr>
          <w:rFonts w:ascii="David" w:hAnsi="David" w:cs="David"/>
          <w:sz w:val="20"/>
          <w:szCs w:val="20"/>
          <w:rtl/>
        </w:rPr>
      </w:pPr>
      <w:r w:rsidRPr="00565C54">
        <w:rPr>
          <w:rFonts w:ascii="David" w:hAnsi="David" w:cs="David"/>
          <w:sz w:val="20"/>
          <w:szCs w:val="20"/>
          <w:rtl/>
        </w:rPr>
        <w:t>אין עצה להשכנת שלום ולהשבתת הניגודים זולת ע"י גילוי מלכות בית דוד, וקרואים המה יראי ד' התלמידי-חכמים המרבים שלום בעולם להחיש ביותר את הביקוש לדוד מלכם, "ובקשו את ד' א-להיהם ואת דוד מלכם" (הושע ג, ה), להחדיר תשובה עמוקה על החטא הקדום של: "מה לנו חלק בדוד ולא נחלה בבן ישי" (מלכים-א יב, טז</w:t>
      </w:r>
      <w:r w:rsidRPr="00565C54">
        <w:rPr>
          <w:rStyle w:val="af0"/>
          <w:rFonts w:ascii="David" w:hAnsi="David" w:cs="David"/>
          <w:sz w:val="20"/>
          <w:szCs w:val="20"/>
          <w:rtl/>
        </w:rPr>
        <w:footnoteReference w:id="2"/>
      </w:r>
      <w:r w:rsidRPr="00565C54">
        <w:rPr>
          <w:rFonts w:ascii="David" w:hAnsi="David" w:cs="David"/>
          <w:sz w:val="20"/>
          <w:szCs w:val="20"/>
          <w:rtl/>
        </w:rPr>
        <w:t xml:space="preserve">), עם תיקונה של כל חלקה טובה בישראל וביסוס כל דעה על מכונה בהפרדת כל סיגיהם שעלו עליה קמשונים ע"י התפשטותם. ואמנם עבודה קשה היא זו, שהיא מעין עבודת הקומץ שלא ירבה ולא יפחות, ושלימותה לא תבוא רק ע"י בן דוד בעצמו. בכל זאת אל להתרפות מעבודת הקודש הלזו, שעל ידה אורו של משיח מאיר על כל המתקרבים אליה. </w:t>
      </w:r>
    </w:p>
    <w:p w14:paraId="304CC2E3" w14:textId="77777777" w:rsidR="004B2274" w:rsidRPr="00565C54" w:rsidRDefault="004B2274" w:rsidP="004B2274">
      <w:pPr>
        <w:spacing w:after="0" w:line="360" w:lineRule="auto"/>
        <w:jc w:val="both"/>
        <w:rPr>
          <w:rFonts w:ascii="David" w:hAnsi="David" w:cs="David"/>
          <w:sz w:val="20"/>
          <w:szCs w:val="20"/>
          <w:rtl/>
        </w:rPr>
      </w:pPr>
      <w:r w:rsidRPr="00565C54">
        <w:rPr>
          <w:rFonts w:ascii="David" w:hAnsi="David" w:cs="David"/>
          <w:sz w:val="20"/>
          <w:szCs w:val="20"/>
          <w:rtl/>
        </w:rPr>
        <w:t xml:space="preserve"> </w:t>
      </w:r>
    </w:p>
    <w:sectPr w:rsidR="004B2274" w:rsidRPr="00565C54" w:rsidSect="007858B6">
      <w:pgSz w:w="12240" w:h="15840"/>
      <w:pgMar w:top="567" w:right="567" w:bottom="567" w:left="567" w:header="720" w:footer="720" w:gutter="0"/>
      <w:lnNumType w:countBy="5"/>
      <w:cols w:num="2" w:space="720"/>
      <w:noEndnote/>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C76A" w14:textId="77777777" w:rsidR="00C46EC3" w:rsidRDefault="00C46EC3" w:rsidP="004B2274">
      <w:pPr>
        <w:spacing w:after="0" w:line="240" w:lineRule="auto"/>
      </w:pPr>
      <w:r>
        <w:separator/>
      </w:r>
    </w:p>
  </w:endnote>
  <w:endnote w:type="continuationSeparator" w:id="0">
    <w:p w14:paraId="00B71175" w14:textId="77777777" w:rsidR="00C46EC3" w:rsidRDefault="00C46EC3" w:rsidP="004B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6419" w14:textId="77777777" w:rsidR="00C46EC3" w:rsidRDefault="00C46EC3" w:rsidP="004B2274">
      <w:pPr>
        <w:spacing w:after="0" w:line="240" w:lineRule="auto"/>
      </w:pPr>
      <w:r>
        <w:separator/>
      </w:r>
    </w:p>
  </w:footnote>
  <w:footnote w:type="continuationSeparator" w:id="0">
    <w:p w14:paraId="487735E6" w14:textId="77777777" w:rsidR="00C46EC3" w:rsidRDefault="00C46EC3" w:rsidP="004B2274">
      <w:pPr>
        <w:spacing w:after="0" w:line="240" w:lineRule="auto"/>
      </w:pPr>
      <w:r>
        <w:continuationSeparator/>
      </w:r>
    </w:p>
  </w:footnote>
  <w:footnote w:id="1">
    <w:p w14:paraId="105E8FED" w14:textId="7210959A" w:rsidR="00A80B30" w:rsidRPr="00A80B30" w:rsidRDefault="00A80B30" w:rsidP="00A80B30">
      <w:pPr>
        <w:pStyle w:val="ae"/>
        <w:spacing w:line="240" w:lineRule="atLeast"/>
        <w:jc w:val="both"/>
        <w:rPr>
          <w:rFonts w:asciiTheme="minorBidi" w:hAnsiTheme="minorBidi"/>
          <w:sz w:val="16"/>
          <w:szCs w:val="16"/>
          <w:rtl/>
        </w:rPr>
      </w:pPr>
      <w:r w:rsidRPr="00A80B30">
        <w:rPr>
          <w:rStyle w:val="af0"/>
          <w:rFonts w:asciiTheme="minorBidi" w:hAnsiTheme="minorBidi"/>
          <w:sz w:val="16"/>
          <w:szCs w:val="16"/>
        </w:rPr>
        <w:footnoteRef/>
      </w:r>
      <w:r w:rsidRPr="00A80B30">
        <w:rPr>
          <w:rFonts w:asciiTheme="minorBidi" w:hAnsiTheme="minorBidi"/>
          <w:sz w:val="16"/>
          <w:szCs w:val="16"/>
          <w:rtl/>
        </w:rPr>
        <w:t xml:space="preserve"> </w:t>
      </w:r>
      <w:r w:rsidR="00247E4D">
        <w:rPr>
          <w:rFonts w:asciiTheme="minorBidi" w:hAnsiTheme="minorBidi" w:hint="cs"/>
          <w:sz w:val="16"/>
          <w:szCs w:val="16"/>
          <w:rtl/>
        </w:rPr>
        <w:t>עיין קידושין עא' ע"א וכן פסק ה</w:t>
      </w:r>
      <w:r w:rsidRPr="00A80B30">
        <w:rPr>
          <w:rFonts w:asciiTheme="minorBidi" w:hAnsiTheme="minorBidi"/>
          <w:sz w:val="16"/>
          <w:szCs w:val="16"/>
          <w:rtl/>
        </w:rPr>
        <w:t>רמב"ם הלכות מלכים פרק יב הלכה ג - בימי המלך המשיח, כשתתיישב ממלכתו ויתקבצו אליו כל ישראל, יתייחסו כולם על פיו ברוח הקודש שתנוח עליו, שנאמר וישב מצרף ומטהר וגו', ובני לוי מטהר תחילה ואומר זה מיוחס כהן וזה מיוחס לוי, ודוחה את שאינן מיוחסין לישראל, הרי הוא אומר ויאמר התרשתא להם וגו' עד עמוד כהן לאורים ולתומים, הנה למדת שברוח הקודש מייחסין המוחזקין ומודיעין המיוחס, ואינו מייחס ישראל אלא לשבטיהם, שמודיע שזה משבט פלוני וזה משבט פלוני, אבל אינו אומר על שהן בחזקת כשרות זה ממזר וזה עבד שהדין הוא שמשפחה שנטמעה נטמעה.</w:t>
      </w:r>
    </w:p>
  </w:footnote>
  <w:footnote w:id="2">
    <w:p w14:paraId="0BDD4EDE" w14:textId="77777777" w:rsidR="004B2274" w:rsidRPr="00A80B30" w:rsidRDefault="004B2274" w:rsidP="00A80B30">
      <w:pPr>
        <w:pStyle w:val="ae"/>
        <w:spacing w:line="240" w:lineRule="atLeast"/>
        <w:jc w:val="both"/>
        <w:rPr>
          <w:rFonts w:asciiTheme="minorBidi" w:hAnsiTheme="minorBidi"/>
          <w:sz w:val="16"/>
          <w:szCs w:val="16"/>
          <w:rtl/>
        </w:rPr>
      </w:pPr>
      <w:r w:rsidRPr="00A80B30">
        <w:rPr>
          <w:rStyle w:val="af0"/>
          <w:rFonts w:asciiTheme="minorBidi" w:hAnsiTheme="minorBidi"/>
          <w:sz w:val="16"/>
          <w:szCs w:val="16"/>
        </w:rPr>
        <w:footnoteRef/>
      </w:r>
      <w:r w:rsidRPr="00A80B30">
        <w:rPr>
          <w:rFonts w:asciiTheme="minorBidi" w:hAnsiTheme="minorBidi"/>
          <w:sz w:val="16"/>
          <w:szCs w:val="16"/>
          <w:rtl/>
        </w:rPr>
        <w:t xml:space="preserve"> מלכים א פרק יב פסוק יב - טז</w:t>
      </w:r>
    </w:p>
    <w:p w14:paraId="44274A4E" w14:textId="77777777" w:rsidR="004B2274" w:rsidRPr="00A80B30" w:rsidRDefault="004B2274" w:rsidP="00A80B30">
      <w:pPr>
        <w:pStyle w:val="ae"/>
        <w:spacing w:line="240" w:lineRule="atLeast"/>
        <w:jc w:val="both"/>
        <w:rPr>
          <w:rFonts w:asciiTheme="minorBidi" w:hAnsiTheme="minorBidi"/>
          <w:sz w:val="16"/>
          <w:szCs w:val="16"/>
          <w:rtl/>
        </w:rPr>
      </w:pPr>
      <w:r w:rsidRPr="00A80B30">
        <w:rPr>
          <w:rFonts w:asciiTheme="minorBidi" w:hAnsiTheme="minorBidi"/>
          <w:sz w:val="16"/>
          <w:szCs w:val="16"/>
          <w:rtl/>
        </w:rPr>
        <w:t>ב) ויבו וַיָּב֨וֹא יָרָבְעָ֧ם וְכָל־הָעָ֛ם אֶל־רְחַבְעָ֖ם בַּיּ֣וֹם הַשְּׁלִישִׁ֑י כַּאֲשֶׁ֨ר דִּבֶּ֤ר הַמֶּ֙לֶךְ֙ לֵאמֹ֔ר שׁ֥וּבוּ אֵלַ֖י בַּיּ֥וֹם הַשְּׁלִישִֽׁי:</w:t>
      </w:r>
    </w:p>
    <w:p w14:paraId="325A59E5" w14:textId="77777777" w:rsidR="004B2274" w:rsidRPr="00A80B30" w:rsidRDefault="004B2274" w:rsidP="00A80B30">
      <w:pPr>
        <w:pStyle w:val="ae"/>
        <w:spacing w:line="240" w:lineRule="atLeast"/>
        <w:jc w:val="both"/>
        <w:rPr>
          <w:rFonts w:asciiTheme="minorBidi" w:hAnsiTheme="minorBidi"/>
          <w:sz w:val="16"/>
          <w:szCs w:val="16"/>
          <w:rtl/>
        </w:rPr>
      </w:pPr>
      <w:r w:rsidRPr="00A80B30">
        <w:rPr>
          <w:rFonts w:asciiTheme="minorBidi" w:hAnsiTheme="minorBidi"/>
          <w:sz w:val="16"/>
          <w:szCs w:val="16"/>
          <w:rtl/>
        </w:rPr>
        <w:t>(יג) וַיַּ֧עַן הַמֶּ֛לֶךְ אֶת־הָעָ֖ם קָשָׁ֑ה וַֽיַּעֲזֹ֛ב אֶת־עֲצַ֥ת הַזְּקֵנִ֖ים אֲשֶׁ֥ר יְעָצֻֽהוּ:</w:t>
      </w:r>
    </w:p>
    <w:p w14:paraId="4F376B93" w14:textId="77777777" w:rsidR="004B2274" w:rsidRPr="00A80B30" w:rsidRDefault="004B2274" w:rsidP="00A80B30">
      <w:pPr>
        <w:pStyle w:val="ae"/>
        <w:spacing w:line="240" w:lineRule="atLeast"/>
        <w:jc w:val="both"/>
        <w:rPr>
          <w:rFonts w:asciiTheme="minorBidi" w:hAnsiTheme="minorBidi"/>
          <w:sz w:val="16"/>
          <w:szCs w:val="16"/>
          <w:rtl/>
        </w:rPr>
      </w:pPr>
      <w:r w:rsidRPr="00A80B30">
        <w:rPr>
          <w:rFonts w:asciiTheme="minorBidi" w:hAnsiTheme="minorBidi"/>
          <w:sz w:val="16"/>
          <w:szCs w:val="16"/>
          <w:rtl/>
        </w:rPr>
        <w:t>(יד) וַיְדַבֵּ֣ר אֲלֵיהֶ֗ם כַּעֲצַ֤ת הַיְלָדִים֙ לֵאמֹ֔ר אָבִי֙ הִכְבִּ֣יד אֶֽת־עֻלְּכֶ֔ם וַאֲנִ֖י אֹסִ֣יף עַֽל־עֻלְּכֶ֑ם אָבִ֗י יִסַּ֤ר אֶתְכֶם֙ בַּשּׁוֹטִ֔ים וַאֲנִ֕י אֲיַסֵּ֥ר אֶתְכֶ֖ם בָּעַקְרַבִּֽים:</w:t>
      </w:r>
    </w:p>
    <w:p w14:paraId="1C26C7E3" w14:textId="77777777" w:rsidR="004B2274" w:rsidRPr="00A80B30" w:rsidRDefault="004B2274" w:rsidP="00A80B30">
      <w:pPr>
        <w:pStyle w:val="ae"/>
        <w:spacing w:line="240" w:lineRule="atLeast"/>
        <w:jc w:val="both"/>
        <w:rPr>
          <w:rFonts w:asciiTheme="minorBidi" w:hAnsiTheme="minorBidi"/>
          <w:sz w:val="16"/>
          <w:szCs w:val="16"/>
          <w:rtl/>
        </w:rPr>
      </w:pPr>
      <w:r w:rsidRPr="00A80B30">
        <w:rPr>
          <w:rFonts w:asciiTheme="minorBidi" w:hAnsiTheme="minorBidi"/>
          <w:sz w:val="16"/>
          <w:szCs w:val="16"/>
          <w:rtl/>
        </w:rPr>
        <w:t>(טו) וְלֹֽא־שָׁמַ֥ע הַמֶּ֖לֶךְ אֶל־הָעָ֑ם כִּֽי־הָיְתָ֤ה סִבָּה֙ מֵעִ֣ם יְקֹוָ֔ק לְמַ֜עַן הָקִ֣ים אֶת־דְּבָר֗וֹ אֲשֶׁ֨ר דִּבֶּ֤ר יְקֹוָק֙ בְּיַד֙ אֲחִיָּ֣ה הַשִּׁילֹנִ֔י אֶל־יָרָבְעָ֖ם בֶּן־נְבָֽט:</w:t>
      </w:r>
    </w:p>
    <w:p w14:paraId="16CF0F02" w14:textId="77777777" w:rsidR="004B2274" w:rsidRPr="00A80B30" w:rsidRDefault="004B2274" w:rsidP="00A80B30">
      <w:pPr>
        <w:pStyle w:val="ae"/>
        <w:spacing w:line="240" w:lineRule="atLeast"/>
        <w:jc w:val="both"/>
        <w:rPr>
          <w:rFonts w:asciiTheme="minorBidi" w:hAnsiTheme="minorBidi"/>
          <w:sz w:val="16"/>
          <w:szCs w:val="16"/>
        </w:rPr>
      </w:pPr>
      <w:r w:rsidRPr="00A80B30">
        <w:rPr>
          <w:rFonts w:asciiTheme="minorBidi" w:hAnsiTheme="minorBidi"/>
          <w:sz w:val="16"/>
          <w:szCs w:val="16"/>
          <w:rtl/>
        </w:rPr>
        <w:t>(טז) וַיַּ֣רְא כָּל־יִשְׂרָאֵ֗ל כִּ֠י לֹֽא־שָׁמַ֣ע הַמֶּלֶךְ֘ אֲלֵיהֶם֒ וַיָּשִׁ֣בוּ הָעָ֣ם אֶת־הַמֶּ֣לֶךְ דָּבָ֣ר׀ לֵאמֹ֡ר מַה־לָּנוּ֩ חֵ֨לֶק בְּדָוִ֜ד וְלֹֽא־נַחֲלָ֣ה בְּבֶן־יִשַׁ֗י לְאֹהָלֶ֙יךָ֙ יִשְׂרָאֵ֔ל עַתָּ֕ה רְאֵ֥ה בֵיתְךָ֖ דָּוִ֑ד וַיֵּ֥לֶךְ יִשְׂרָאֵ֖ל לְאֹהָלָֽיו: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74"/>
    <w:rsid w:val="000A7818"/>
    <w:rsid w:val="00247E4D"/>
    <w:rsid w:val="002A6DF1"/>
    <w:rsid w:val="00426A7A"/>
    <w:rsid w:val="00432A00"/>
    <w:rsid w:val="004B2274"/>
    <w:rsid w:val="00523311"/>
    <w:rsid w:val="005E2D18"/>
    <w:rsid w:val="00621C68"/>
    <w:rsid w:val="007443D8"/>
    <w:rsid w:val="007858B6"/>
    <w:rsid w:val="00816ED4"/>
    <w:rsid w:val="00822823"/>
    <w:rsid w:val="00933D6E"/>
    <w:rsid w:val="00991249"/>
    <w:rsid w:val="00A80B30"/>
    <w:rsid w:val="00C36500"/>
    <w:rsid w:val="00C46EC3"/>
    <w:rsid w:val="00C604F4"/>
    <w:rsid w:val="00C81A63"/>
    <w:rsid w:val="00D3568D"/>
    <w:rsid w:val="00D81623"/>
    <w:rsid w:val="00E0140F"/>
    <w:rsid w:val="00E714FF"/>
    <w:rsid w:val="00EE7A45"/>
    <w:rsid w:val="00F46D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B4B9"/>
  <w15:chartTrackingRefBased/>
  <w15:docId w15:val="{6EA8049D-6E6A-4F35-85EF-33D2F80D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B2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2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22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22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22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22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22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22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22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B2274"/>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4B2274"/>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4B2274"/>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4B2274"/>
    <w:rPr>
      <w:rFonts w:eastAsiaTheme="majorEastAsia" w:cstheme="majorBidi"/>
      <w:i/>
      <w:iCs/>
      <w:color w:val="2F5496" w:themeColor="accent1" w:themeShade="BF"/>
    </w:rPr>
  </w:style>
  <w:style w:type="character" w:customStyle="1" w:styleId="50">
    <w:name w:val="כותרת 5 תו"/>
    <w:basedOn w:val="a0"/>
    <w:link w:val="5"/>
    <w:uiPriority w:val="9"/>
    <w:semiHidden/>
    <w:rsid w:val="004B2274"/>
    <w:rPr>
      <w:rFonts w:eastAsiaTheme="majorEastAsia" w:cstheme="majorBidi"/>
      <w:color w:val="2F5496" w:themeColor="accent1" w:themeShade="BF"/>
    </w:rPr>
  </w:style>
  <w:style w:type="character" w:customStyle="1" w:styleId="60">
    <w:name w:val="כותרת 6 תו"/>
    <w:basedOn w:val="a0"/>
    <w:link w:val="6"/>
    <w:uiPriority w:val="9"/>
    <w:semiHidden/>
    <w:rsid w:val="004B2274"/>
    <w:rPr>
      <w:rFonts w:eastAsiaTheme="majorEastAsia" w:cstheme="majorBidi"/>
      <w:i/>
      <w:iCs/>
      <w:color w:val="595959" w:themeColor="text1" w:themeTint="A6"/>
    </w:rPr>
  </w:style>
  <w:style w:type="character" w:customStyle="1" w:styleId="70">
    <w:name w:val="כותרת 7 תו"/>
    <w:basedOn w:val="a0"/>
    <w:link w:val="7"/>
    <w:uiPriority w:val="9"/>
    <w:semiHidden/>
    <w:rsid w:val="004B2274"/>
    <w:rPr>
      <w:rFonts w:eastAsiaTheme="majorEastAsia" w:cstheme="majorBidi"/>
      <w:color w:val="595959" w:themeColor="text1" w:themeTint="A6"/>
    </w:rPr>
  </w:style>
  <w:style w:type="character" w:customStyle="1" w:styleId="80">
    <w:name w:val="כותרת 8 תו"/>
    <w:basedOn w:val="a0"/>
    <w:link w:val="8"/>
    <w:uiPriority w:val="9"/>
    <w:semiHidden/>
    <w:rsid w:val="004B2274"/>
    <w:rPr>
      <w:rFonts w:eastAsiaTheme="majorEastAsia" w:cstheme="majorBidi"/>
      <w:i/>
      <w:iCs/>
      <w:color w:val="272727" w:themeColor="text1" w:themeTint="D8"/>
    </w:rPr>
  </w:style>
  <w:style w:type="character" w:customStyle="1" w:styleId="90">
    <w:name w:val="כותרת 9 תו"/>
    <w:basedOn w:val="a0"/>
    <w:link w:val="9"/>
    <w:uiPriority w:val="9"/>
    <w:semiHidden/>
    <w:rsid w:val="004B2274"/>
    <w:rPr>
      <w:rFonts w:eastAsiaTheme="majorEastAsia" w:cstheme="majorBidi"/>
      <w:color w:val="272727" w:themeColor="text1" w:themeTint="D8"/>
    </w:rPr>
  </w:style>
  <w:style w:type="paragraph" w:styleId="a3">
    <w:name w:val="Title"/>
    <w:basedOn w:val="a"/>
    <w:next w:val="a"/>
    <w:link w:val="a4"/>
    <w:uiPriority w:val="10"/>
    <w:qFormat/>
    <w:rsid w:val="004B2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B2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27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B22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B2274"/>
    <w:pPr>
      <w:spacing w:before="160"/>
      <w:jc w:val="center"/>
    </w:pPr>
    <w:rPr>
      <w:i/>
      <w:iCs/>
      <w:color w:val="404040" w:themeColor="text1" w:themeTint="BF"/>
    </w:rPr>
  </w:style>
  <w:style w:type="character" w:customStyle="1" w:styleId="a8">
    <w:name w:val="ציטוט תו"/>
    <w:basedOn w:val="a0"/>
    <w:link w:val="a7"/>
    <w:uiPriority w:val="29"/>
    <w:rsid w:val="004B2274"/>
    <w:rPr>
      <w:i/>
      <w:iCs/>
      <w:color w:val="404040" w:themeColor="text1" w:themeTint="BF"/>
    </w:rPr>
  </w:style>
  <w:style w:type="paragraph" w:styleId="a9">
    <w:name w:val="List Paragraph"/>
    <w:basedOn w:val="a"/>
    <w:uiPriority w:val="34"/>
    <w:qFormat/>
    <w:rsid w:val="004B2274"/>
    <w:pPr>
      <w:ind w:left="720"/>
      <w:contextualSpacing/>
    </w:pPr>
  </w:style>
  <w:style w:type="character" w:styleId="aa">
    <w:name w:val="Intense Emphasis"/>
    <w:basedOn w:val="a0"/>
    <w:uiPriority w:val="21"/>
    <w:qFormat/>
    <w:rsid w:val="004B2274"/>
    <w:rPr>
      <w:i/>
      <w:iCs/>
      <w:color w:val="2F5496" w:themeColor="accent1" w:themeShade="BF"/>
    </w:rPr>
  </w:style>
  <w:style w:type="paragraph" w:styleId="ab">
    <w:name w:val="Intense Quote"/>
    <w:basedOn w:val="a"/>
    <w:next w:val="a"/>
    <w:link w:val="ac"/>
    <w:uiPriority w:val="30"/>
    <w:qFormat/>
    <w:rsid w:val="004B2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B2274"/>
    <w:rPr>
      <w:i/>
      <w:iCs/>
      <w:color w:val="2F5496" w:themeColor="accent1" w:themeShade="BF"/>
    </w:rPr>
  </w:style>
  <w:style w:type="character" w:styleId="ad">
    <w:name w:val="Intense Reference"/>
    <w:basedOn w:val="a0"/>
    <w:uiPriority w:val="32"/>
    <w:qFormat/>
    <w:rsid w:val="004B2274"/>
    <w:rPr>
      <w:b/>
      <w:bCs/>
      <w:smallCaps/>
      <w:color w:val="2F5496" w:themeColor="accent1" w:themeShade="BF"/>
      <w:spacing w:val="5"/>
    </w:rPr>
  </w:style>
  <w:style w:type="paragraph" w:styleId="ae">
    <w:name w:val="footnote text"/>
    <w:basedOn w:val="a"/>
    <w:link w:val="af"/>
    <w:uiPriority w:val="99"/>
    <w:semiHidden/>
    <w:unhideWhenUsed/>
    <w:rsid w:val="004B2274"/>
    <w:pPr>
      <w:spacing w:after="0" w:line="240" w:lineRule="auto"/>
    </w:pPr>
    <w:rPr>
      <w:sz w:val="20"/>
      <w:szCs w:val="20"/>
    </w:rPr>
  </w:style>
  <w:style w:type="character" w:customStyle="1" w:styleId="af">
    <w:name w:val="טקסט הערת שוליים תו"/>
    <w:basedOn w:val="a0"/>
    <w:link w:val="ae"/>
    <w:uiPriority w:val="99"/>
    <w:semiHidden/>
    <w:rsid w:val="004B2274"/>
    <w:rPr>
      <w:sz w:val="20"/>
      <w:szCs w:val="20"/>
    </w:rPr>
  </w:style>
  <w:style w:type="character" w:styleId="af0">
    <w:name w:val="footnote reference"/>
    <w:basedOn w:val="a0"/>
    <w:uiPriority w:val="99"/>
    <w:semiHidden/>
    <w:unhideWhenUsed/>
    <w:rsid w:val="004B2274"/>
    <w:rPr>
      <w:vertAlign w:val="superscript"/>
    </w:rPr>
  </w:style>
  <w:style w:type="character" w:styleId="af1">
    <w:name w:val="line number"/>
    <w:basedOn w:val="a0"/>
    <w:uiPriority w:val="99"/>
    <w:semiHidden/>
    <w:unhideWhenUsed/>
    <w:rsid w:val="0078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7575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מתנאל בן-גיגי</cp:lastModifiedBy>
  <cp:revision>2</cp:revision>
  <dcterms:created xsi:type="dcterms:W3CDTF">2026-06-23T17:09:00Z</dcterms:created>
  <dcterms:modified xsi:type="dcterms:W3CDTF">2026-06-23T17:09:00Z</dcterms:modified>
</cp:coreProperties>
</file>