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                                                                                     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שיעור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1</w:t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jc w:val="center"/>
        <w:rPr>
          <w:rFonts w:ascii="David" w:cs="David" w:eastAsia="David" w:hAnsi="David"/>
          <w:b w:val="1"/>
          <w:sz w:val="26"/>
          <w:szCs w:val="26"/>
        </w:rPr>
      </w:pPr>
      <w:r w:rsidDel="00000000" w:rsidR="00000000" w:rsidRPr="00000000">
        <w:rPr>
          <w:rFonts w:ascii="David" w:cs="David" w:eastAsia="David" w:hAnsi="David"/>
          <w:b w:val="1"/>
          <w:sz w:val="26"/>
          <w:szCs w:val="26"/>
          <w:rtl w:val="1"/>
        </w:rPr>
        <w:t xml:space="preserve">המחלוקת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rtl w:val="1"/>
        </w:rPr>
        <w:t xml:space="preserve">הציונות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rtl w:val="1"/>
        </w:rPr>
        <w:t xml:space="preserve">הדתית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rtl w:val="1"/>
        </w:rPr>
        <w:t xml:space="preserve">לתפיסה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rtl w:val="1"/>
        </w:rPr>
        <w:t xml:space="preserve">החרדית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rtl w:val="1"/>
        </w:rPr>
        <w:t xml:space="preserve">ביחס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rtl w:val="1"/>
        </w:rPr>
        <w:t xml:space="preserve">למשיחיות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היתכן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שיחלו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שהגיע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1"/>
          <w:rtl w:val="0"/>
        </w:rPr>
        <w:t xml:space="preserve">?</w:t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rPr>
          <w:rFonts w:ascii="David" w:cs="David" w:eastAsia="David" w:hAnsi="David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שיחות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הרב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צבי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יהודה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נצבים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וילך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סדרה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תשל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נספח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0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פרקטי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החזרת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ליושנה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השתחררות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משעבוד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שברון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הגויים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צוארנו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מתחילים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גשמי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השייך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לריאליות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מדרגות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כביטוי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אלפים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כביטוי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פשוט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פשוט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הברכה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קללת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ומתפייס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מרוגזו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והבאתי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אדמתכם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לגבולם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המובנים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במובן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הגשמי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במובן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הרוחני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יגדיל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ויאדיר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ההתפייסות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התחילה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ביסוד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פתח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תקוה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והמושבות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הסכנות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כרוכות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התחיל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להופיע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: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ענפכם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ופריכם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מסביר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כשתתן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יקרב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עובדה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שעכשיו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בפירות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בגפן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בבננות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ובתפוזים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מתבשרים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הצלחה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נוספת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ממשיים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גשמיים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להתרגל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כשמכוונים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האנושית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האלוהית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יראיו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נפגשים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בריבוי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הממשיות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תקומת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שהולכת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ונמשכת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מתחדשים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רבונו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מתעצל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נמצאים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באמצע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הסיבוכים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יסתדרו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בעזרת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עומדים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ממלכתי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צבאי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חקלאי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מתחילים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ומסתיימים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בענינים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נסתרים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כתחיית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המתים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סתירה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צדדים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הגלוי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הנסתר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תחיית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המתים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שלמותה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עסקינן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בנגלה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רגילה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שמתעוררים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סיבוכים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מסתובבים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נביאים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מתגלה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כבודו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בקרובים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ברחוקים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ברחוקים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שבתחתיות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בביאור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השירים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נמצאת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הגדרה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הגויים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ונשמות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הגויים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שייכים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לצלם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נמשכים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מהמקור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האלוהי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ונשארים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תלויים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לעומתם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 </w:t>
      </w:r>
    </w:p>
    <w:p w:rsidR="00000000" w:rsidDel="00000000" w:rsidP="00000000" w:rsidRDefault="00000000" w:rsidRPr="00000000" w14:paraId="0000000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דגאולה</w:t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מגילה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שעתידין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ליגאל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קבעוה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במוצאי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מרומי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שדה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מגילה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0F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וכמו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שקבעו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צום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החמישי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בתשיעי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משום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דהוי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דפורענותא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בתענית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עיקר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עולת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תמיד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סימן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קטו</w:t>
      </w:r>
    </w:p>
    <w:p w:rsidR="00000000" w:rsidDel="00000000" w:rsidP="00000000" w:rsidRDefault="00000000" w:rsidRPr="00000000" w14:paraId="0000001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וברכה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בעניינו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ומפרש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רפאנו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סלח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כסדר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הסולח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עוניכי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הרופא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תחלואיכי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ותירץ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עתידין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ליגאל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קבעוה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ומלחמה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דבמוצאי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התחלת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העיקר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דנכון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תיכף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לסליחה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מגילה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1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היא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שיגאלנו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וצמח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לעצמה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קבעוה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ישועות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מלכו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יורה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דעה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סימן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סו</w:t>
      </w:r>
    </w:p>
    <w:p w:rsidR="00000000" w:rsidDel="00000000" w:rsidP="00000000" w:rsidRDefault="00000000" w:rsidRPr="00000000" w14:paraId="0000001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תרנ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קוטנא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בוצינא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קדישא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מגזע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תרשישים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בקאצק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19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בפרט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והטעם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נתרשלו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עזרא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רצו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חשבו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לפקידה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גמורה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שצריכים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נביאת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/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נבואת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פקידה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האחרונה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מדינות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מגולי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טיטוס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שנגלו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הביהמ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כשגלו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שחשש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מרוטנבורג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חשש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וחסרון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פרנסה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המחלוקת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כידוע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שבזמן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מרוטענבורג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מחלוקת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יושבי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ויושבי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אשכנז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וצרפת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תיקי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שנתעורר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המחלוקת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אודות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נבוכים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בשביל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דחש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שנשתנה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בעזהי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לטובה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בסכנת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הדרכים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שחשב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בעיקר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הירושה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והישיבה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לכבוש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ירושתינו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ריקנית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האחרונים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אכילת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עיקר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האכילה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ולקיחת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והלישה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והאפי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גומל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חסד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כמפעלו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הפעולה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תמימי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ספק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הקיבוץ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ונאמר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אקבץ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לנקבציו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ביבמות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השכינה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ובפרט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עתה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שראינו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התשוקה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הגדולה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באנשים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פחותי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בבינונים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בישרים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בלבותם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קרוב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לודאי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שנתנוצץ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אשרי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חלקו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ממזכה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1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שהעיר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מכיבוש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עזרא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נוטה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הארכתי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בקונטרס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מיוחד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בענינים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/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'/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אשלח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קונטרס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מיוחד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1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ומברכו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בברכת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קוטנא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מזמור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1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כהתגשמות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הנביאים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ולעומת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נביאנו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?"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שחזו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הנביאים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בתכלית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השלמות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נביאינו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ורבותינו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ממשיכיהם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שהמדינה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אברהם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יצחק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ויעקב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ישובו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ויקימו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תקומה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יישובית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ושלטון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צדיקים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צדיקים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בקבצי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אדמתם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לבטח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ונטעו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כרמים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..."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יחזקאל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נטיעת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כרמים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נאמרה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ישיבות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נאמרה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אדמתם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הגדלת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והאדרתה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אדמתם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כביטויו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גוטמכר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ואצלי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יקיימו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שיתחילו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הקודש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משפחות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התחלת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ראויים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נדפס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").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צדיק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בהגדלת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ויראת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סדרי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חקלאי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קימום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להמשך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להעלאה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בקודש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להרבצת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להגדלתה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ולהאדרתה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2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הכפירה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במעשי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הנגלים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ובד</w:t>
      </w:r>
    </w:p>
    <w:p w:rsidR="00000000" w:rsidDel="00000000" w:rsidP="00000000" w:rsidRDefault="00000000" w:rsidRPr="00000000" w14:paraId="0000002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לחרפתנו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ולצערנו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ניכר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מהציבור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במעשי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הנגלים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פוסחים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הסעיפים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חוסר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המתלבשת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בלבוש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חרדיות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וצדקות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כופרים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הקוראים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לאחרים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הפוסל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במומו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פוסל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נביאינו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נותנת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ובשפע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מעיזים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ומתחצפים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כנגד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גוטמכר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טיפש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שחושב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שזוהי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מקוטנא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ישועות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טיפש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במעשי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ובחסדיו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המתלבשת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בלבוש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צדקות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מרושעת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המעכבת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ומלהתגלות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בחוגים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המהססים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החוששים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מליפול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בספקות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לזכור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ספיקות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תהלתו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משעבדים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לאביהם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2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bidi w:val="1"/>
        <w:spacing w:after="0" w:line="360" w:lineRule="auto"/>
        <w:jc w:val="both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המשיח</w:t>
      </w:r>
    </w:p>
    <w:p w:rsidR="00000000" w:rsidDel="00000000" w:rsidP="00000000" w:rsidRDefault="00000000" w:rsidRPr="00000000" w14:paraId="00000026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צז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bookmarkStart w:colFirst="0" w:colLast="0" w:name="_ul0cvox8fd0" w:id="0"/>
      <w:bookmarkEnd w:id="0"/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אלפים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אלפים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אלפים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אלפים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ובעונותינו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שיצאו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ברכות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2B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הנביאים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נתנבאו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זולתך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ופליגא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דשמואל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לימות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שעבוד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מלכיות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יחדל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אביון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מקרב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צז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2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תניא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יהודה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שבן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הוועד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לזנות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והגליל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והגבלן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ואנשי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גבול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יסובבו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יחוננו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וחכמת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הסופרים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תסרח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ויראי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חטא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ימאסו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נעדרת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נעדרת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וסר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משתולל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2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30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תניא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נהוראי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שבן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נערים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ילבינו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זקנים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וזקנים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יעמדו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נערים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בחמותה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מתבייש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מאביו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תניא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נחמיה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שבן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העזות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והיוקר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והגפן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ביוקר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ונהפכה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למינות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תוכחה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מסייע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יצחק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יצחק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שתתהפך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למינות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צו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3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נחמן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לרבי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יצחק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שמיע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אימת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אתי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נפלי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?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מאן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נפלי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? -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 -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נפלי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קרית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? -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אקים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דויד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הנפלת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שבן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תלמידי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מתמעטים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ביגון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ואנחה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וצרות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וגזרות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מתחדשות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שהראשונה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פקודה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שניה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ממהרת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לבא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נצח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לה</w:t>
      </w:r>
    </w:p>
    <w:p w:rsidR="00000000" w:rsidDel="00000000" w:rsidP="00000000" w:rsidRDefault="00000000" w:rsidRPr="00000000" w14:paraId="0000003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התבאר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חדשה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הפסד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ולפיכך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הגורם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העדר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שיתגלה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המשיח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הפסד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יתחיל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ההויה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יצחק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עמוס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הנופלת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after="0" w:line="36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709" w:footer="709"/>
      <w:pgNumType w:start="1"/>
      <w:cols w:equalWidth="0" w:num="2">
        <w:col w:space="708" w:w="5031.999999999999"/>
        <w:col w:space="0" w:w="5031.999999999999"/>
      </w:cols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Davi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