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כוחה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חבורה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והמפתח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לקבלת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תורה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קמז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חלבו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חמרא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דפרוגייתא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ומיא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דדיומסת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קיפחו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עשרת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השבטים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איקלע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להתם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אימשיך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בתרייהו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איעקר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תלמודיה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הדר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אתא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קם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למיקרי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בספרא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למיקרא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החרש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לבם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בעו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רבנן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רחמי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עליה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והדר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תלמודיה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והיינו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דתנן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נהוראי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הוי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גולה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למקום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תאמר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תבא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אחריך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שחבריך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יקיימוה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בידך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בינתך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תשען</w:t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תנא</w:t>
      </w:r>
      <w:r w:rsidDel="00000000" w:rsidR="00000000" w:rsidRPr="00000000">
        <w:rPr>
          <w:rFonts w:ascii="David" w:cs="David" w:eastAsia="David" w:hAnsi="David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נהוראי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נחמיה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ואמרי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ולמה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נקרא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נהוראי</w:t>
      </w:r>
      <w:r w:rsidDel="00000000" w:rsidR="00000000" w:rsidRPr="00000000">
        <w:rPr>
          <w:rFonts w:ascii="David" w:cs="David" w:eastAsia="David" w:hAnsi="David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rtl w:val="1"/>
        </w:rPr>
        <w:t xml:space="preserve">שמנהיר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עיני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בהלכה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0" w:line="360" w:lineRule="auto"/>
        <w:jc w:val="both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קמז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8"/>
          <w:szCs w:val="18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jc w:val="both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חמרא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דפרוגיתא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מדינה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שיינה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משובח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קפחו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עשרת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השבטים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הנאה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ועסוקים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בכך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עוסקים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ויצאו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לתרבות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רעה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להתם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לפורגיתא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ודיומסית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אימשיך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בתרייהו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היין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והרחיצה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איעקר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תלמודיה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נעקר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תלמודו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ושכחו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החרש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לבם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הוי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גולה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למקום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תורה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תלמיד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חכם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תשב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חברך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ואל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תאמר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תלמידים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יבואו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אלי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ודי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בכך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אהיה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גולה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שחביריך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יקיימוה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בידך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שתהא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רגיל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אצלם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וכשתשנה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אחרת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תשמענה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ותהא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סדורה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בפיך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ואל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תשתכח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הימנה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ואל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בינתך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תשען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חכם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וזכרן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וכשאחזור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תשתכח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חברתה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ממני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מדרגתו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ערך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אבות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ח</w:t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ומשמאי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תחזיק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לעצמך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נוצרת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תלמידים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הורקנוס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חנניה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נתנאל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שבחן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הורקנוס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יולדתו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חסיד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נתנאל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חטא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מעין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המתגבר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חכמי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בכף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מאזנים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ואליעזר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הורקנוס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בכף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שניה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מכריע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כולם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מאזנים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הורקנוס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מכריע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עובדיה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מברטנורא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אבות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ואלעזר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בכף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שניה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מצאתי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דלענין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הבקיאות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והזכרון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מכריע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החריפות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והפלפול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מכריע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אבות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ט</w:t>
      </w:r>
    </w:p>
    <w:p w:rsidR="00000000" w:rsidDel="00000000" w:rsidP="00000000" w:rsidRDefault="00000000" w:rsidRPr="00000000" w14:paraId="0000001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איזוהי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שידבק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הרואה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הנולד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איזוהי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שיתרחק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וצדיק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spacing w:after="0" w:line="360" w:lineRule="auto"/>
        <w:jc w:val="both"/>
        <w:rPr>
          <w:rFonts w:ascii="David" w:cs="David" w:eastAsia="David" w:hAnsi="David"/>
          <w:color w:val="ee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חגיגה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1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רוכב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מרכבה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במרכבה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ביחיד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מדעתו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תרשיני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שלמדתני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ונתעטף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מרכבה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ושכינה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ומלאכי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מלוין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ארכב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המרכבה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וירדה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וסיבבה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האילנות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שבשדה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פתחו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ארזים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הללויה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נענה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המרכבה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ונשקו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לאברהם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שיודע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ולחקור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ולדרוש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מרכבה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אברהם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מחלציך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וכשנאמרו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מרכבה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תקופת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תמוז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נתקשרו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מתקבצין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לשמוע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שמתקבצין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במזמוטי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וסיפר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ואשרי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יולדתכם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בחלומי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מסובין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ונתנה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טרקלין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ומצעות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מוצעות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ותלמידיכם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ותלמידי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תלמידיכם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מזומנין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שלישית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זוהר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חדש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כרך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1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הזכיר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בריאת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כסא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והמלאכים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יהרהר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הסתומים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להראות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סתרי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יצחק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מגלין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סתרי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וקורא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ותלמודו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הסתרים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והנעלמים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שלמעלה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עיניך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גילתה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סתרים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סודות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ופירושים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קווצותיו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תלתלים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דרבן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זכאי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האי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פסוקא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ושם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אשתו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מהיטבאל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מטרד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זהב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שלש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מאות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פסוקות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רצה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לגלות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הורקנוס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תלמידיו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דהוו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עסקי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במעשה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מרכבה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jc w:val="both"/>
        <w:rPr>
          <w:rFonts w:ascii="David" w:cs="David" w:eastAsia="David" w:hAnsi="David"/>
          <w:color w:val="ee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מדרש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תהלים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שוחר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בובר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מזמור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יצליח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צריכין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לעצתו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יועץ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ומתקיימות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ומצליחות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מקובלני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מרבותי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להתקיים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מנסיא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מחשבות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ועצת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אימשיך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בתרייהו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איעקר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תלמודיה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 –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גרם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?</w:t>
      </w:r>
    </w:p>
    <w:p w:rsidR="00000000" w:rsidDel="00000000" w:rsidP="00000000" w:rsidRDefault="00000000" w:rsidRPr="00000000" w14:paraId="00000020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קהלת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ז</w:t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ילקוט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שמעוני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קהלת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רמז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תתקעג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העושק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כשהחכם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מתעסק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בעיסוקים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מערבבין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ויאבד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וממתנה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נחליאל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שמתעסק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בצרכי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משכחין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למדתי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מיהודה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פדיה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בחרישת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בצרכי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שכחתי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עסקים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זקנת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תלמידים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יושבים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וכשנפטר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לאימעוט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לדיומסי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המתין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כסבור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לבסוף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ללכת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הניחתו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צריכין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והעכברים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ללכת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עכברים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תלמודו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שעורים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בליפתן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ליפתן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לקרוא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בפרשת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צווחו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התחיל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שהחזירו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תלמודו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דתנן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החזיר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תלמודו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העושק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קטנות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אבות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נוסחא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יד</w:t>
      </w:r>
    </w:p>
    <w:p w:rsidR="00000000" w:rsidDel="00000000" w:rsidP="00000000" w:rsidRDefault="00000000" w:rsidRPr="00000000" w14:paraId="0000002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כשמת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רבן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זכאי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נכנסו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תלמידיו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לנחמו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וישב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לפניו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רצונך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מצטער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בעצמי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הזכרת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צערו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רצונך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מבורך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מצטער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בעצמי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שהזכרת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צערו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וישב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לפניו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רצונך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שתיקה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מצטער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בעצמי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שהזכרתני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צערו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רצונך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לפניך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אמור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וינחם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וישכב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ותלד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מצטער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בעצמי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שהזכרתני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צערו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שראהו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לשמשו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המרחץ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אמשול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שהפקיד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פקדון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וצועק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אימתי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הפקדון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וכתובים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ואגדות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ונפטר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חטא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תנחומין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כשהחזרת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פקדונך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נחמתני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כדרך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שבני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מנחמין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כשיצאו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מלפניו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לדמסית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למקום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ומים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יפים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ונאים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נלך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ליבנה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למקום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שתלמידים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מרובים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אוהבים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שהלך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לדמסית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למקום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ומים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יפים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ונאים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נתמעט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שהלכו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ליבנה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למקום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שתלמידים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מרובים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ואוהבים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נתגדל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שמם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מיהו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נהוראי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02B">
      <w:pPr>
        <w:bidi w:val="1"/>
        <w:spacing w:after="0" w:line="360" w:lineRule="auto"/>
        <w:jc w:val="both"/>
        <w:rPr>
          <w:rFonts w:ascii="David" w:cs="David" w:eastAsia="David" w:hAnsi="David"/>
          <w:color w:val="ee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עירובין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2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נהוראי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בהלכה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נהוראי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נחמיה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נהוראי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שמנהיר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בהלכה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תורת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עירובין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3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חברו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יוחנן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ולעיל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עקיבא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עקיבא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לכם</w:t>
      </w:r>
    </w:p>
    <w:p w:rsidR="00000000" w:rsidDel="00000000" w:rsidP="00000000" w:rsidRDefault="00000000" w:rsidRPr="00000000" w14:paraId="0000003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35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יעמדו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ויעידו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מראייה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זירא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שראוהו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יעמדו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ויושיבו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מחביריהם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היחיד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שמיעה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מראייה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תימא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שראוהו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סיפא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איצטריכא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היחיד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דסלקא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דעתך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+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מסורת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ותניא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]+: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ממונות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בשלשה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מומחה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ביחיד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ניקדשיה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ביחידי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קמשמע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-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מומחה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לרבים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בישראל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ממשה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וקאמר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דאיכא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בהדך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אהרן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מצרים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לכם</w:t>
      </w:r>
    </w:p>
    <w:p w:rsidR="00000000" w:rsidDel="00000000" w:rsidP="00000000" w:rsidRDefault="00000000" w:rsidRPr="00000000" w14:paraId="0000003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טעה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דווקא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בטעות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03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חידושי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אגדות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למהר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קמז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3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תלמודא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בפומיה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לסימנא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למקרי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ליקוטי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שושנים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שמשון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מאוסטרופולי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3D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בציוני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קליפה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וקליפה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להשכיח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ולהעקיר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חיילותן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ושוכח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תלמודו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מבטל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קליפה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חיילותיה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ולדעתי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איתא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בגמרא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חלש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איתפח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קרי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החרש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לבם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ולדעתי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הסוד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ולמה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דוקא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טעה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טעות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כזה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וסודו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קרא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מהד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ומהז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ומכף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אותיות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שטעה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לרמז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שקליפה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הנקראת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גרמה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לשכחתו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חיילותיהם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מרומזים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ומבטל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הקליפות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לדעתי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לרמז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ביושר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בטעות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מבטל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הקליפות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הנזכרים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מתפללין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למען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after="0" w:line="360" w:lineRule="auto"/>
        <w:jc w:val="both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קדושים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רב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צדוק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אות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':</w:t>
      </w:r>
    </w:p>
    <w:p w:rsidR="00000000" w:rsidDel="00000000" w:rsidP="00000000" w:rsidRDefault="00000000" w:rsidRPr="00000000" w14:paraId="0000004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ופעם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ראשון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שנזכר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מלת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קדושה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השבת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בבריאת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בפרשת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בראשית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ויברך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ויקדש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Arial" w:cs="Arial" w:eastAsia="Arial" w:hAnsi="Arial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וקיבלתי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שבכל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דבר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וענין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במקום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שמלה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זו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נזכר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פעם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ראשונה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בתורה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שם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הוא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שורש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1"/>
        </w:rPr>
        <w:t xml:space="preserve">הענין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</w:t>
      </w:r>
    </w:p>
    <w:p w:rsidR="00000000" w:rsidDel="00000000" w:rsidP="00000000" w:rsidRDefault="00000000" w:rsidRPr="00000000" w14:paraId="0000004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יג</w:t>
      </w:r>
    </w:p>
    <w:p w:rsidR="00000000" w:rsidDel="00000000" w:rsidP="00000000" w:rsidRDefault="00000000" w:rsidRPr="00000000" w14:paraId="0000004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ּ:(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ָּׂ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׀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4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אגרא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דכלה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צב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'.</w:t>
      </w:r>
    </w:p>
    <w:p w:rsidR="00000000" w:rsidDel="00000000" w:rsidP="00000000" w:rsidRDefault="00000000" w:rsidRPr="00000000" w14:paraId="00000047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ויהי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עסק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המריבה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מחלוקת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ווי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ובהיפוך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במקום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השלום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שמחה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וחדוה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48">
      <w:pPr>
        <w:bidi w:val="1"/>
        <w:spacing w:after="0" w:line="360" w:lineRule="auto"/>
        <w:jc w:val="both"/>
        <w:rPr/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ויהי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ריב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שכתבו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המקובלים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קליפה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הנקראת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ריב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הגורמת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לשכח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שגרמה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לרבי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אלעזר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ששכח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תלמודו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הקליפה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מבטלה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בגימטריא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בכפל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הקליפה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משפט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הבכורה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ניצוץ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חטאו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שגרם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שנתרחק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משפט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הבכורה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בכפל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ונתעורר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גימטריא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החקוק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שהכניס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לאותיות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הלימוד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אברהם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בקרבתו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ללוט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להאיר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מתפעל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בהתנגדות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נתעורר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קליפת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התנגדות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למשיח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צדקינו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ואמת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בימיו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וקליפת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פעולתה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לחרחר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הריב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ולהפריד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הדבקים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ואפילו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באדם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בעצמו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מתעוררת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בהשכיח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תלמודו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אזי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מתפעל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ודעתו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בהשקט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ובשלום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ויקפיד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ואינו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וילנא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פרשה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מא</w:t>
      </w:r>
    </w:p>
    <w:p w:rsidR="00000000" w:rsidDel="00000000" w:rsidP="00000000" w:rsidRDefault="00000000" w:rsidRPr="00000000" w14:paraId="0000004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יצחק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מצאתי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עבדי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מצאתיו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בסדום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יצחק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מצאתי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עבדי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מצאתיו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בסדום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4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bCs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ההכנה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למתן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4"/>
          <w:szCs w:val="24"/>
          <w:rtl w:val="1"/>
        </w:rPr>
        <w:t xml:space="preserve">תורה</w:t>
      </w:r>
    </w:p>
    <w:p w:rsidR="00000000" w:rsidDel="00000000" w:rsidP="00000000" w:rsidRDefault="00000000" w:rsidRPr="00000000" w14:paraId="0000004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יז</w:t>
      </w:r>
    </w:p>
    <w:p w:rsidR="00000000" w:rsidDel="00000000" w:rsidP="00000000" w:rsidRDefault="00000000" w:rsidRPr="00000000" w14:paraId="0000005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5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5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5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5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ָ֗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ָּ:</w:t>
      </w:r>
    </w:p>
    <w:p w:rsidR="00000000" w:rsidDel="00000000" w:rsidP="00000000" w:rsidRDefault="00000000" w:rsidRPr="00000000" w14:paraId="0000005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֩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׀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֘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֒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5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ֵׁ֣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׀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ֵ֗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ֵּ֖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</w:p>
    <w:p w:rsidR="00000000" w:rsidDel="00000000" w:rsidP="00000000" w:rsidRDefault="00000000" w:rsidRPr="00000000" w14:paraId="0000005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ֵ֑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ָּ֥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ִֽ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5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יט</w:t>
      </w:r>
    </w:p>
    <w:p w:rsidR="00000000" w:rsidDel="00000000" w:rsidP="00000000" w:rsidRDefault="00000000" w:rsidRPr="00000000" w14:paraId="0000005A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ּ֙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ָׁ֥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5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כלי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יקר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5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ויסעו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מרפידים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ויבואו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נכתבו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חסר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ויסעו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מרפידים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ותחילה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לקבלת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אסופות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מרועה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קהלת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נתיבותיה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פירוד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הלבבות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אוסר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ונמצא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השלישי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שחודש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שמזלו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תאומים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הדיבוק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והאהבה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שיחדיו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כתאומים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לאוהבי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רמז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כתאומים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יחדיו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5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ויסעו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מרפידים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ומחלוקת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ומריבה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ורפידים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פרידים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הפירוד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דרשוהו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הפירוד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רפו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ועכשיו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נסעו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מרפידים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הסיעו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הפירוד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ויבואו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באגודה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והשררה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הנמוך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שבהרים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לשבתו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שהקב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בענוים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ההכנעה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מזכירם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ויבואו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להורות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חלוקים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בדעתם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והוגד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מתחילה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בחנייתם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ממחלוקתם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ההיפך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לאומות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5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אסתר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</w:t>
      </w:r>
    </w:p>
    <w:p w:rsidR="00000000" w:rsidDel="00000000" w:rsidP="00000000" w:rsidRDefault="00000000" w:rsidRPr="00000000" w14:paraId="0000006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ְ֩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6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ֳּ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</w:p>
    <w:p w:rsidR="00000000" w:rsidDel="00000000" w:rsidP="00000000" w:rsidRDefault="00000000" w:rsidRPr="00000000" w14:paraId="00000063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יב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ֹּ֤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tl w:val="1"/>
        </w:rPr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ָ֛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ָ֥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ּֽ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ָ֖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ֵּ֣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ִ֑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ֶׁ֥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ֶֽ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ָּ:</w:t>
      </w:r>
    </w:p>
    <w:p w:rsidR="00000000" w:rsidDel="00000000" w:rsidP="00000000" w:rsidRDefault="00000000" w:rsidRPr="00000000" w14:paraId="00000067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מגילה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טו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6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ויעבר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מרדכי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שהעביר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בתענית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ערקומא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מגילה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טו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6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בשלשה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בניסן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נכתבו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האגרות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וניתן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בשושן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וארבעה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התענו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ובששה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ערקומא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לאסוף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היהודים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16"/>
          <w:szCs w:val="16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rtl w:val="1"/>
        </w:rPr>
        <w:t xml:space="preserve">כללים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rtl w:val="1"/>
        </w:rPr>
        <w:t xml:space="preserve">לשיעור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bCs w:val="1"/>
          <w:sz w:val="16"/>
          <w:szCs w:val="16"/>
          <w:rtl w:val="1"/>
        </w:rPr>
        <w:t xml:space="preserve">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קושי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פתח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לנשמה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ממרחק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תביא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לחמה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\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ראשונה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בתורה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פרד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ס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המדרש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ללמדנו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75">
      <w:pPr>
        <w:bidi w:val="1"/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567" w:top="567" w:left="567" w:right="567" w:header="709" w:footer="709"/>
      <w:pgNumType w:start="1"/>
      <w:cols w:equalWidth="0" w:num="2">
        <w:col w:space="708" w:w="5031.999999999999"/>
        <w:col w:space="0" w:w="5031.999999999999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David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נאמר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חזקיהו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מלכים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פרק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- 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ֹּ֤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ח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ָּ֙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ּ֙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ֶֽ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ַֽׁ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ָ֔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ָ֖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ק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ֶׁ֣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ִּ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ַּ֑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ָּ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ַ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ֹּ֕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ר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ֲ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֛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ָׁ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ֹ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ֶ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ֱ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ֶ֖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ת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ִ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ֶ֥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ָ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מ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ָֽ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1"/>
        </w:rPr>
        <w:t xml:space="preserve">: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