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5"/>
        <w:bidi w:val="1"/>
        <w:spacing w:after="0" w:before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                                             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מרכזיות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בחיינו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להשתחרר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ממבט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חיצוני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על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ארץ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ישראל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5"/>
        <w:bidi w:val="1"/>
        <w:spacing w:after="0" w:before="0" w:line="360" w:lineRule="auto"/>
        <w:jc w:val="both"/>
        <w:rPr>
          <w:rFonts w:ascii="David" w:cs="David" w:eastAsia="David" w:hAnsi="David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1"/>
        </w:rPr>
        <w:t xml:space="preserve">אורות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אורות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ארץ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פסקה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ינ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יצו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יצו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תו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דו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ֹ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יב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מו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בו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ּ.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ך</w:t>
      </w:r>
      <w:r w:rsidDel="00000000" w:rsidR="00000000" w:rsidRPr="00000000">
        <w:rPr>
          <w:sz w:val="20"/>
          <w:szCs w:val="20"/>
          <w:rtl w:val="1"/>
        </w:rPr>
        <w:t xml:space="preserve">ְ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מד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ַּׁ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ץ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הו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ּ,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ֱ</w:t>
      </w:r>
      <w:r w:rsidDel="00000000" w:rsidR="00000000" w:rsidRPr="00000000">
        <w:rPr>
          <w:sz w:val="20"/>
          <w:szCs w:val="20"/>
          <w:rtl w:val="1"/>
        </w:rPr>
        <w:t xml:space="preserve">נו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ִׁ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רו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 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ּ,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ְׁ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ּׁ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ֶּ</w:t>
      </w:r>
      <w:r w:rsidDel="00000000" w:rsidR="00000000" w:rsidRPr="00000000">
        <w:rPr>
          <w:sz w:val="20"/>
          <w:szCs w:val="20"/>
          <w:rtl w:val="1"/>
        </w:rPr>
        <w:t xml:space="preserve">יה</w:t>
      </w:r>
      <w:r w:rsidDel="00000000" w:rsidR="00000000" w:rsidRPr="00000000">
        <w:rPr>
          <w:sz w:val="20"/>
          <w:szCs w:val="20"/>
          <w:rtl w:val="1"/>
        </w:rPr>
        <w:t xml:space="preserve">ָ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צ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ט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ֳ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חו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יח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-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ּ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ָּׁ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ֵּ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נע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דו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ֵׁ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יו</w:t>
      </w:r>
      <w:r w:rsidDel="00000000" w:rsidR="00000000" w:rsidRPr="00000000">
        <w:rPr>
          <w:sz w:val="20"/>
          <w:szCs w:val="20"/>
          <w:rtl w:val="1"/>
        </w:rPr>
        <w:t xml:space="preserve">ֹ</w:t>
      </w:r>
      <w:r w:rsidDel="00000000" w:rsidR="00000000" w:rsidRPr="00000000">
        <w:rPr>
          <w:sz w:val="20"/>
          <w:szCs w:val="20"/>
          <w:rtl w:val="1"/>
        </w:rPr>
        <w:t xml:space="preserve">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ֻ</w:t>
      </w:r>
      <w:r w:rsidDel="00000000" w:rsidR="00000000" w:rsidRPr="00000000">
        <w:rPr>
          <w:sz w:val="20"/>
          <w:szCs w:val="20"/>
          <w:rtl w:val="1"/>
        </w:rPr>
        <w:t xml:space="preserve">ק</w:t>
      </w:r>
      <w:r w:rsidDel="00000000" w:rsidR="00000000" w:rsidRPr="00000000">
        <w:rPr>
          <w:sz w:val="20"/>
          <w:szCs w:val="20"/>
          <w:rtl w:val="1"/>
        </w:rPr>
        <w:t xml:space="preserve">ֵּ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ַּ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ְׂ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ית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ירמיהו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כט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(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)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ֵ֙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ֶּ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ִּ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ֵ֣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ס</w:t>
      </w:r>
      <w:r w:rsidDel="00000000" w:rsidR="00000000" w:rsidRPr="00000000">
        <w:rPr>
          <w:sz w:val="20"/>
          <w:szCs w:val="20"/>
          <w:rtl w:val="1"/>
        </w:rPr>
        <w:t xml:space="preserve">ֵּ֔</w:t>
      </w:r>
      <w:r w:rsidDel="00000000" w:rsidR="00000000" w:rsidRPr="00000000">
        <w:rPr>
          <w:sz w:val="20"/>
          <w:szCs w:val="20"/>
          <w:rtl w:val="1"/>
        </w:rPr>
        <w:t xml:space="preserve">פ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ֶׁ֥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ַ֛</w:t>
      </w:r>
      <w:r w:rsidDel="00000000" w:rsidR="00000000" w:rsidRPr="00000000">
        <w:rPr>
          <w:sz w:val="20"/>
          <w:szCs w:val="20"/>
          <w:rtl w:val="1"/>
        </w:rPr>
        <w:t xml:space="preserve">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ָ֥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ִ֖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ירו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ִָ֑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־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ֶ֜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ֵ֣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ָ֗</w:t>
      </w:r>
      <w:r w:rsidDel="00000000" w:rsidR="00000000" w:rsidRPr="00000000">
        <w:rPr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ֹּ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ִ֤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ְּ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יא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ים</w:t>
      </w:r>
      <w:r w:rsidDel="00000000" w:rsidR="00000000" w:rsidRPr="00000000">
        <w:rPr>
          <w:sz w:val="20"/>
          <w:szCs w:val="20"/>
          <w:rtl w:val="1"/>
        </w:rPr>
        <w:t xml:space="preserve">֙ 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־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ע</w:t>
      </w:r>
      <w:r w:rsidDel="00000000" w:rsidR="00000000" w:rsidRPr="00000000">
        <w:rPr>
          <w:sz w:val="20"/>
          <w:szCs w:val="20"/>
          <w:rtl w:val="1"/>
        </w:rPr>
        <w:t xml:space="preserve">ָ֔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</w:t>
      </w:r>
      <w:r w:rsidDel="00000000" w:rsidR="00000000" w:rsidRPr="00000000">
        <w:rPr>
          <w:sz w:val="20"/>
          <w:szCs w:val="20"/>
          <w:rtl w:val="1"/>
        </w:rPr>
        <w:t xml:space="preserve">ֲ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ֶׁ֨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ג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ָ֧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ֽ</w:t>
      </w:r>
      <w:r w:rsidDel="00000000" w:rsidR="00000000" w:rsidRPr="00000000">
        <w:rPr>
          <w:sz w:val="20"/>
          <w:szCs w:val="20"/>
          <w:rtl w:val="1"/>
        </w:rPr>
        <w:t xml:space="preserve">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כ</w:t>
      </w:r>
      <w:r w:rsidDel="00000000" w:rsidR="00000000" w:rsidRPr="00000000">
        <w:rPr>
          <w:sz w:val="20"/>
          <w:szCs w:val="20"/>
          <w:rtl w:val="1"/>
        </w:rPr>
        <w:t xml:space="preserve">ַ</w:t>
      </w:r>
      <w:r w:rsidDel="00000000" w:rsidR="00000000" w:rsidRPr="00000000">
        <w:rPr>
          <w:sz w:val="20"/>
          <w:szCs w:val="20"/>
          <w:rtl w:val="1"/>
        </w:rPr>
        <w:t xml:space="preserve">ד</w:t>
      </w:r>
      <w:r w:rsidDel="00000000" w:rsidR="00000000" w:rsidRPr="00000000">
        <w:rPr>
          <w:sz w:val="20"/>
          <w:szCs w:val="20"/>
          <w:rtl w:val="1"/>
        </w:rPr>
        <w:t xml:space="preserve">ְ</w:t>
      </w:r>
      <w:r w:rsidDel="00000000" w:rsidR="00000000" w:rsidRPr="00000000">
        <w:rPr>
          <w:sz w:val="20"/>
          <w:szCs w:val="20"/>
          <w:rtl w:val="1"/>
        </w:rPr>
        <w:t xml:space="preserve">נ</w:t>
      </w:r>
      <w:r w:rsidDel="00000000" w:rsidR="00000000" w:rsidRPr="00000000">
        <w:rPr>
          <w:sz w:val="20"/>
          <w:szCs w:val="20"/>
          <w:rtl w:val="1"/>
        </w:rPr>
        <w:t xml:space="preserve">ֶ</w:t>
      </w:r>
      <w:r w:rsidDel="00000000" w:rsidR="00000000" w:rsidRPr="00000000">
        <w:rPr>
          <w:sz w:val="20"/>
          <w:szCs w:val="20"/>
          <w:rtl w:val="1"/>
        </w:rPr>
        <w:t xml:space="preserve">אצ</w:t>
      </w:r>
      <w:r w:rsidDel="00000000" w:rsidR="00000000" w:rsidRPr="00000000">
        <w:rPr>
          <w:sz w:val="20"/>
          <w:szCs w:val="20"/>
          <w:rtl w:val="1"/>
        </w:rPr>
        <w:t xml:space="preserve">ַּ֛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</w:t>
      </w:r>
      <w:r w:rsidDel="00000000" w:rsidR="00000000" w:rsidRPr="00000000">
        <w:rPr>
          <w:sz w:val="20"/>
          <w:szCs w:val="20"/>
          <w:rtl w:val="1"/>
        </w:rPr>
        <w:t xml:space="preserve">ִ</w:t>
      </w:r>
      <w:r w:rsidDel="00000000" w:rsidR="00000000" w:rsidRPr="00000000">
        <w:rPr>
          <w:sz w:val="20"/>
          <w:szCs w:val="20"/>
          <w:rtl w:val="1"/>
        </w:rPr>
        <w:t xml:space="preserve">ירו</w:t>
      </w:r>
      <w:r w:rsidDel="00000000" w:rsidR="00000000" w:rsidRPr="00000000">
        <w:rPr>
          <w:sz w:val="20"/>
          <w:szCs w:val="20"/>
          <w:rtl w:val="1"/>
        </w:rPr>
        <w:t xml:space="preserve">ּ</w:t>
      </w:r>
      <w:r w:rsidDel="00000000" w:rsidR="00000000" w:rsidRPr="00000000">
        <w:rPr>
          <w:sz w:val="20"/>
          <w:szCs w:val="20"/>
          <w:rtl w:val="1"/>
        </w:rPr>
        <w:t xml:space="preserve">ש</w:t>
      </w:r>
      <w:r w:rsidDel="00000000" w:rsidR="00000000" w:rsidRPr="00000000">
        <w:rPr>
          <w:sz w:val="20"/>
          <w:szCs w:val="20"/>
          <w:rtl w:val="1"/>
        </w:rPr>
        <w:t xml:space="preserve">ָׁ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ִַ֖</w:t>
      </w:r>
      <w:r w:rsidDel="00000000" w:rsidR="00000000" w:rsidRPr="00000000">
        <w:rPr>
          <w:sz w:val="20"/>
          <w:szCs w:val="20"/>
          <w:rtl w:val="1"/>
        </w:rPr>
        <w:t xml:space="preserve">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ָּ</w:t>
      </w:r>
      <w:r w:rsidDel="00000000" w:rsidR="00000000" w:rsidRPr="00000000">
        <w:rPr>
          <w:sz w:val="20"/>
          <w:szCs w:val="20"/>
          <w:rtl w:val="1"/>
        </w:rPr>
        <w:t xml:space="preserve">ב</w:t>
      </w:r>
      <w:r w:rsidDel="00000000" w:rsidR="00000000" w:rsidRPr="00000000">
        <w:rPr>
          <w:sz w:val="20"/>
          <w:szCs w:val="20"/>
          <w:rtl w:val="1"/>
        </w:rPr>
        <w:t xml:space="preserve">ֶֽ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ָ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ירושלמי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סנהדרין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0D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כתיב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הקדוש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ברוך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ביותר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זקני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הגולה</w:t>
      </w:r>
      <w:r w:rsidDel="00000000" w:rsidR="00000000" w:rsidRPr="00000000">
        <w:rPr>
          <w:sz w:val="20"/>
          <w:szCs w:val="20"/>
          <w:rtl w:val="1"/>
        </w:rPr>
        <w:t xml:space="preserve">. </w:t>
      </w:r>
      <w:r w:rsidDel="00000000" w:rsidR="00000000" w:rsidRPr="00000000">
        <w:rPr>
          <w:sz w:val="20"/>
          <w:szCs w:val="20"/>
          <w:rtl w:val="1"/>
        </w:rPr>
        <w:t xml:space="preserve">חביבה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עלי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קטנה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יותר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מסנהדרין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שבחוצה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כתובות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קי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10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ת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ר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לעולם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אדם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אפי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בעיר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שרובה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כוכבים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ידור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ואפילו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בעיר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שרובה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דומה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שיש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בחוצה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לארץ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דומה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שנא</w:t>
      </w:r>
      <w:r w:rsidDel="00000000" w:rsidR="00000000" w:rsidRPr="00000000">
        <w:rPr>
          <w:sz w:val="20"/>
          <w:szCs w:val="20"/>
          <w:rtl w:val="1"/>
        </w:rPr>
        <w:t xml:space="preserve">': </w:t>
      </w:r>
      <w:r w:rsidDel="00000000" w:rsidR="00000000" w:rsidRPr="00000000">
        <w:rPr>
          <w:sz w:val="20"/>
          <w:szCs w:val="20"/>
          <w:rtl w:val="1"/>
        </w:rPr>
        <w:t xml:space="preserve">לתת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כנען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להיות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לכם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לאלהים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שאינו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אלוה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אלא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כאילו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כוכבים</w:t>
      </w:r>
      <w:r w:rsidDel="00000000" w:rsidR="00000000" w:rsidRPr="00000000">
        <w:rPr>
          <w:sz w:val="20"/>
          <w:szCs w:val="20"/>
          <w:rtl w:val="1"/>
        </w:rPr>
        <w:t xml:space="preserve">; </w:t>
      </w:r>
      <w:r w:rsidDel="00000000" w:rsidR="00000000" w:rsidRPr="00000000">
        <w:rPr>
          <w:sz w:val="20"/>
          <w:szCs w:val="20"/>
          <w:rtl w:val="1"/>
        </w:rPr>
        <w:t xml:space="preserve">וכן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אומר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גרשוני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היום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מהסתפח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בנחלת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לאמר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וכי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לדוד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אלהים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אחרים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אלא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לומר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לך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הדר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בחו</w:t>
      </w:r>
      <w:r w:rsidDel="00000000" w:rsidR="00000000" w:rsidRPr="00000000">
        <w:rPr>
          <w:sz w:val="20"/>
          <w:szCs w:val="20"/>
          <w:rtl w:val="1"/>
        </w:rPr>
        <w:t xml:space="preserve">"</w:t>
      </w:r>
      <w:r w:rsidDel="00000000" w:rsidR="00000000" w:rsidRPr="00000000">
        <w:rPr>
          <w:sz w:val="20"/>
          <w:szCs w:val="20"/>
          <w:rtl w:val="1"/>
        </w:rPr>
        <w:t xml:space="preserve">ל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כאילו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עובד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עבודת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כוכבים</w:t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הוריות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ג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אמר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אסי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ובהוראה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הלך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אחר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רוב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יושבי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ארץ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שנאמר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ויעש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ההיא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החג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לפני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</w:t>
      </w:r>
      <w:r w:rsidDel="00000000" w:rsidR="00000000" w:rsidRPr="00000000">
        <w:rPr>
          <w:sz w:val="20"/>
          <w:szCs w:val="20"/>
          <w:rtl w:val="1"/>
        </w:rPr>
        <w:t xml:space="preserve">' </w:t>
      </w:r>
      <w:r w:rsidDel="00000000" w:rsidR="00000000" w:rsidRPr="00000000">
        <w:rPr>
          <w:sz w:val="20"/>
          <w:szCs w:val="20"/>
          <w:rtl w:val="1"/>
        </w:rPr>
        <w:t xml:space="preserve">אלהינו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שבעת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ושבעת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ימים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ארבעה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עשר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יום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מכדי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כתיב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וכל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ישראל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עמו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גדול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מלבוא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חמת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עד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נחל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מצרים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למה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לי</w:t>
      </w:r>
      <w:r w:rsidDel="00000000" w:rsidR="00000000" w:rsidRPr="00000000">
        <w:rPr>
          <w:sz w:val="20"/>
          <w:szCs w:val="20"/>
          <w:rtl w:val="1"/>
        </w:rPr>
        <w:t xml:space="preserve">? </w:t>
      </w:r>
      <w:r w:rsidDel="00000000" w:rsidR="00000000" w:rsidRPr="00000000">
        <w:rPr>
          <w:sz w:val="20"/>
          <w:szCs w:val="20"/>
          <w:rtl w:val="1"/>
        </w:rPr>
        <w:t xml:space="preserve">שמע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מינה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r w:rsidDel="00000000" w:rsidR="00000000" w:rsidRPr="00000000">
        <w:rPr>
          <w:sz w:val="20"/>
          <w:szCs w:val="20"/>
          <w:rtl w:val="1"/>
        </w:rPr>
        <w:t xml:space="preserve">הני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הוא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דאיקרי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אבל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הנך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לא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איקרי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קהל</w:t>
      </w:r>
      <w:r w:rsidDel="00000000" w:rsidR="00000000" w:rsidRPr="00000000">
        <w:rPr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line="360" w:lineRule="auto"/>
        <w:jc w:val="both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רש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"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י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מסכת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הוריות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דף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ג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u w:val="single"/>
          <w:rtl w:val="1"/>
        </w:rPr>
        <w:t xml:space="preserve">אמר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רב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אסי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ובהוראה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6"/>
          <w:szCs w:val="16"/>
          <w:rtl w:val="1"/>
        </w:rPr>
        <w:t xml:space="preserve"> - </w:t>
      </w:r>
      <w:r w:rsidDel="00000000" w:rsidR="00000000" w:rsidRPr="00000000">
        <w:rPr>
          <w:sz w:val="16"/>
          <w:szCs w:val="16"/>
          <w:rtl w:val="1"/>
        </w:rPr>
        <w:t xml:space="preserve">דקיי</w:t>
      </w:r>
      <w:r w:rsidDel="00000000" w:rsidR="00000000" w:rsidRPr="00000000">
        <w:rPr>
          <w:sz w:val="16"/>
          <w:szCs w:val="16"/>
          <w:rtl w:val="1"/>
        </w:rPr>
        <w:t xml:space="preserve">"</w:t>
      </w:r>
      <w:r w:rsidDel="00000000" w:rsidR="00000000" w:rsidRPr="00000000">
        <w:rPr>
          <w:sz w:val="16"/>
          <w:szCs w:val="16"/>
          <w:rtl w:val="1"/>
        </w:rPr>
        <w:t xml:space="preserve">ל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כי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הורו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</w:t>
      </w:r>
      <w:r w:rsidDel="00000000" w:rsidR="00000000" w:rsidRPr="00000000">
        <w:rPr>
          <w:sz w:val="16"/>
          <w:szCs w:val="16"/>
          <w:rtl w:val="1"/>
        </w:rPr>
        <w:t xml:space="preserve">"</w:t>
      </w:r>
      <w:r w:rsidDel="00000000" w:rsidR="00000000" w:rsidRPr="00000000">
        <w:rPr>
          <w:sz w:val="16"/>
          <w:szCs w:val="16"/>
          <w:rtl w:val="1"/>
        </w:rPr>
        <w:t xml:space="preserve">ד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ועשו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רוב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קהל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על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פיהם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שמביאים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פר</w:t>
      </w:r>
      <w:r w:rsidDel="00000000" w:rsidR="00000000" w:rsidRPr="00000000">
        <w:rPr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u w:val="single"/>
          <w:rtl w:val="1"/>
        </w:rPr>
        <w:t xml:space="preserve">הלך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אחר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רוב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יושבי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'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בארץ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16"/>
          <w:szCs w:val="16"/>
          <w:rtl w:val="1"/>
        </w:rPr>
        <w:t xml:space="preserve"> - </w:t>
      </w:r>
      <w:r w:rsidDel="00000000" w:rsidR="00000000" w:rsidRPr="00000000">
        <w:rPr>
          <w:sz w:val="16"/>
          <w:szCs w:val="16"/>
          <w:rtl w:val="1"/>
        </w:rPr>
        <w:t xml:space="preserve">דאותם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שבחוצה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לארץ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אינן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מן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המנין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ולא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אותן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דמנחל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מצרים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ולחוץ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דחוצה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לארץ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היא</w:t>
      </w:r>
      <w:r w:rsidDel="00000000" w:rsidR="00000000" w:rsidRPr="00000000">
        <w:rPr>
          <w:sz w:val="16"/>
          <w:szCs w:val="16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360" w:lineRule="auto"/>
        <w:jc w:val="both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באר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שבע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מסכת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הוריות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דף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ג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1"/>
        </w:rPr>
        <w:t xml:space="preserve">אמר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אסי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ובהוראה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הלך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אחר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רוב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יושבי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ארץ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ישראל</w:t>
      </w:r>
      <w:r w:rsidDel="00000000" w:rsidR="00000000" w:rsidRPr="00000000">
        <w:rPr>
          <w:sz w:val="16"/>
          <w:szCs w:val="16"/>
          <w:rtl w:val="1"/>
        </w:rPr>
        <w:t xml:space="preserve">. </w:t>
      </w:r>
      <w:r w:rsidDel="00000000" w:rsidR="00000000" w:rsidRPr="00000000">
        <w:rPr>
          <w:sz w:val="16"/>
          <w:szCs w:val="16"/>
          <w:rtl w:val="1"/>
        </w:rPr>
        <w:t xml:space="preserve">פירוש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לאפוקי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בעשיית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פסח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בטומאה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אין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הולכין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אחר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רוב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יושבי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ארץ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ישראל</w:t>
      </w:r>
      <w:r w:rsidDel="00000000" w:rsidR="00000000" w:rsidRPr="00000000">
        <w:rPr>
          <w:sz w:val="16"/>
          <w:szCs w:val="16"/>
          <w:rtl w:val="1"/>
        </w:rPr>
        <w:t xml:space="preserve">, </w:t>
      </w:r>
      <w:r w:rsidDel="00000000" w:rsidR="00000000" w:rsidRPr="00000000">
        <w:rPr>
          <w:sz w:val="16"/>
          <w:szCs w:val="16"/>
          <w:rtl w:val="1"/>
        </w:rPr>
        <w:t xml:space="preserve">אלא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אחר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רוב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העומדים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בעזרה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כדאיתא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בפרק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מי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שהיה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טמא</w:t>
      </w:r>
      <w:r w:rsidDel="00000000" w:rsidR="00000000" w:rsidRPr="00000000">
        <w:rPr>
          <w:sz w:val="16"/>
          <w:szCs w:val="16"/>
          <w:rtl w:val="1"/>
        </w:rPr>
        <w:t xml:space="preserve"> (</w:t>
      </w:r>
      <w:r w:rsidDel="00000000" w:rsidR="00000000" w:rsidRPr="00000000">
        <w:rPr>
          <w:sz w:val="16"/>
          <w:szCs w:val="16"/>
          <w:rtl w:val="1"/>
        </w:rPr>
        <w:t xml:space="preserve">פסחים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צה</w:t>
      </w:r>
      <w:r w:rsidDel="00000000" w:rsidR="00000000" w:rsidRPr="00000000">
        <w:rPr>
          <w:sz w:val="16"/>
          <w:szCs w:val="16"/>
          <w:rtl w:val="1"/>
        </w:rPr>
        <w:t xml:space="preserve">, </w:t>
      </w:r>
      <w:r w:rsidDel="00000000" w:rsidR="00000000" w:rsidRPr="00000000">
        <w:rPr>
          <w:sz w:val="16"/>
          <w:szCs w:val="16"/>
          <w:rtl w:val="1"/>
        </w:rPr>
        <w:t xml:space="preserve">ב</w:t>
      </w:r>
      <w:r w:rsidDel="00000000" w:rsidR="00000000" w:rsidRPr="00000000">
        <w:rPr>
          <w:sz w:val="16"/>
          <w:szCs w:val="16"/>
          <w:rtl w:val="1"/>
        </w:rPr>
        <w:t xml:space="preserve">), </w:t>
      </w:r>
      <w:r w:rsidDel="00000000" w:rsidR="00000000" w:rsidRPr="00000000">
        <w:rPr>
          <w:sz w:val="16"/>
          <w:szCs w:val="16"/>
          <w:rtl w:val="1"/>
        </w:rPr>
        <w:t xml:space="preserve">והכי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איתא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בהדיא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בירושלמי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בפרק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זה</w:t>
      </w:r>
      <w:r w:rsidDel="00000000" w:rsidR="00000000" w:rsidRPr="00000000">
        <w:rPr>
          <w:sz w:val="16"/>
          <w:szCs w:val="16"/>
          <w:rtl w:val="1"/>
        </w:rPr>
        <w:t xml:space="preserve"> (</w:t>
      </w:r>
      <w:r w:rsidDel="00000000" w:rsidR="00000000" w:rsidRPr="00000000">
        <w:rPr>
          <w:sz w:val="16"/>
          <w:szCs w:val="16"/>
          <w:rtl w:val="1"/>
        </w:rPr>
        <w:t xml:space="preserve">הלכה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</w:t>
      </w:r>
      <w:r w:rsidDel="00000000" w:rsidR="00000000" w:rsidRPr="00000000">
        <w:rPr>
          <w:sz w:val="16"/>
          <w:szCs w:val="16"/>
          <w:rtl w:val="1"/>
        </w:rPr>
        <w:t xml:space="preserve">') </w:t>
      </w:r>
      <w:r w:rsidDel="00000000" w:rsidR="00000000" w:rsidRPr="00000000">
        <w:rPr>
          <w:sz w:val="16"/>
          <w:szCs w:val="16"/>
          <w:rtl w:val="1"/>
        </w:rPr>
        <w:t xml:space="preserve">ובפרק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כיצד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צולין</w:t>
      </w:r>
      <w:r w:rsidDel="00000000" w:rsidR="00000000" w:rsidRPr="00000000">
        <w:rPr>
          <w:sz w:val="16"/>
          <w:szCs w:val="16"/>
          <w:rtl w:val="1"/>
        </w:rPr>
        <w:t xml:space="preserve"> (</w:t>
      </w:r>
      <w:r w:rsidDel="00000000" w:rsidR="00000000" w:rsidRPr="00000000">
        <w:rPr>
          <w:sz w:val="16"/>
          <w:szCs w:val="16"/>
          <w:rtl w:val="1"/>
        </w:rPr>
        <w:t xml:space="preserve">פסחים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פ</w:t>
      </w:r>
      <w:r w:rsidDel="00000000" w:rsidR="00000000" w:rsidRPr="00000000">
        <w:rPr>
          <w:sz w:val="16"/>
          <w:szCs w:val="16"/>
          <w:rtl w:val="1"/>
        </w:rPr>
        <w:t xml:space="preserve">"</w:t>
      </w:r>
      <w:r w:rsidDel="00000000" w:rsidR="00000000" w:rsidRPr="00000000">
        <w:rPr>
          <w:sz w:val="16"/>
          <w:szCs w:val="16"/>
          <w:rtl w:val="1"/>
        </w:rPr>
        <w:t xml:space="preserve">ו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</w:t>
      </w:r>
      <w:r w:rsidDel="00000000" w:rsidR="00000000" w:rsidRPr="00000000">
        <w:rPr>
          <w:sz w:val="16"/>
          <w:szCs w:val="16"/>
          <w:rtl w:val="1"/>
        </w:rPr>
        <w:t xml:space="preserve">"</w:t>
      </w:r>
      <w:r w:rsidDel="00000000" w:rsidR="00000000" w:rsidRPr="00000000">
        <w:rPr>
          <w:sz w:val="16"/>
          <w:szCs w:val="16"/>
          <w:rtl w:val="1"/>
        </w:rPr>
        <w:t xml:space="preserve">ו</w:t>
      </w:r>
      <w:r w:rsidDel="00000000" w:rsidR="00000000" w:rsidRPr="00000000">
        <w:rPr>
          <w:sz w:val="16"/>
          <w:szCs w:val="16"/>
          <w:rtl w:val="1"/>
        </w:rPr>
        <w:t xml:space="preserve">) </w:t>
      </w:r>
      <w:r w:rsidDel="00000000" w:rsidR="00000000" w:rsidRPr="00000000">
        <w:rPr>
          <w:sz w:val="16"/>
          <w:szCs w:val="16"/>
          <w:rtl w:val="1"/>
        </w:rPr>
        <w:t xml:space="preserve">רב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אמי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אמר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בשם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</w:t>
      </w:r>
      <w:r w:rsidDel="00000000" w:rsidR="00000000" w:rsidRPr="00000000">
        <w:rPr>
          <w:sz w:val="16"/>
          <w:szCs w:val="16"/>
          <w:rtl w:val="1"/>
        </w:rPr>
        <w:t xml:space="preserve">' </w:t>
      </w:r>
      <w:r w:rsidDel="00000000" w:rsidR="00000000" w:rsidRPr="00000000">
        <w:rPr>
          <w:sz w:val="16"/>
          <w:szCs w:val="16"/>
          <w:rtl w:val="1"/>
        </w:rPr>
        <w:t xml:space="preserve">שמעון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לקיש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להורייה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הלכו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אחר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רוב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יושבי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ארץ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ישראל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לטומאה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הלכו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אחר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רוב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נכנסין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לעזרה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כו</w:t>
      </w:r>
      <w:r w:rsidDel="00000000" w:rsidR="00000000" w:rsidRPr="00000000">
        <w:rPr>
          <w:sz w:val="16"/>
          <w:szCs w:val="16"/>
          <w:rtl w:val="1"/>
        </w:rPr>
        <w:t xml:space="preserve">'. </w:t>
      </w:r>
      <w:r w:rsidDel="00000000" w:rsidR="00000000" w:rsidRPr="00000000">
        <w:rPr>
          <w:sz w:val="16"/>
          <w:szCs w:val="16"/>
          <w:rtl w:val="1"/>
        </w:rPr>
        <w:t xml:space="preserve">ובהכי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ניחא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למה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נקט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רב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אסי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ובהוראה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בוי</w:t>
      </w:r>
      <w:r w:rsidDel="00000000" w:rsidR="00000000" w:rsidRPr="00000000">
        <w:rPr>
          <w:sz w:val="16"/>
          <w:szCs w:val="16"/>
          <w:rtl w:val="1"/>
        </w:rPr>
        <w:t xml:space="preserve">"</w:t>
      </w:r>
      <w:r w:rsidDel="00000000" w:rsidR="00000000" w:rsidRPr="00000000">
        <w:rPr>
          <w:sz w:val="16"/>
          <w:szCs w:val="16"/>
          <w:rtl w:val="1"/>
        </w:rPr>
        <w:t xml:space="preserve">ו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בראש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התיבה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ולא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אמר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בהוראה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הלך</w:t>
      </w:r>
      <w:r w:rsidDel="00000000" w:rsidR="00000000" w:rsidRPr="00000000">
        <w:rPr>
          <w:sz w:val="16"/>
          <w:szCs w:val="16"/>
          <w:rtl w:val="1"/>
        </w:rPr>
        <w:t xml:space="preserve"> </w:t>
      </w:r>
      <w:r w:rsidDel="00000000" w:rsidR="00000000" w:rsidRPr="00000000">
        <w:rPr>
          <w:sz w:val="16"/>
          <w:szCs w:val="16"/>
          <w:rtl w:val="1"/>
        </w:rPr>
        <w:t xml:space="preserve">כו</w:t>
      </w:r>
      <w:r w:rsidDel="00000000" w:rsidR="00000000" w:rsidRPr="00000000">
        <w:rPr>
          <w:sz w:val="16"/>
          <w:szCs w:val="16"/>
          <w:rtl w:val="1"/>
        </w:rPr>
        <w:t xml:space="preserve">':</w:t>
      </w:r>
    </w:p>
    <w:p w:rsidR="00000000" w:rsidDel="00000000" w:rsidP="00000000" w:rsidRDefault="00000000" w:rsidRPr="00000000" w14:paraId="0000001B">
      <w:pPr>
        <w:bidi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5"/>
        <w:bidi w:val="1"/>
        <w:spacing w:line="360" w:lineRule="auto"/>
        <w:jc w:val="both"/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לרמב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קנג</w:t>
      </w:r>
    </w:p>
    <w:p w:rsidR="00000000" w:rsidDel="00000000" w:rsidP="00000000" w:rsidRDefault="00000000" w:rsidRPr="00000000" w14:paraId="0000001D">
      <w:pPr>
        <w:pStyle w:val="Heading5"/>
        <w:bidi w:val="1"/>
        <w:spacing w:after="0" w:before="0" w:line="360" w:lineRule="auto"/>
        <w:jc w:val="both"/>
        <w:rPr>
          <w:rFonts w:ascii="David" w:cs="David" w:eastAsia="David" w:hAnsi="David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אוסיף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באור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אילו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איפשר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משל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שבני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יעדרו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מארץ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חלילה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לאל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מעשות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הבטיח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ימחה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אותות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האומה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בחוצה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שנסמך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הנה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חשבוננו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יועילנו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כלום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בשום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פנים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שנחשב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בחוצה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ונעבר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ונקבע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חדשים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בתנאים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הנזכרים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שבארנו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מציון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תצא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ודבר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מירושלים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color w:val="000000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1"/>
        </w:rPr>
        <w:t xml:space="preserve">אורות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אורות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ארץ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פסקה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ּ;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5"/>
        <w:bidi w:val="1"/>
        <w:spacing w:after="0" w:before="0" w:line="360" w:lineRule="auto"/>
        <w:jc w:val="both"/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color w:val="000000"/>
          <w:sz w:val="20"/>
          <w:szCs w:val="20"/>
          <w:u w:val="single"/>
          <w:rtl w:val="1"/>
        </w:rPr>
        <w:t xml:space="preserve">ה</w:t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ודע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סדום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למעלת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מכלל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נחלת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ואינה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סובלת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תועבות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וכאשר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תקיא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הגוי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תועבותם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הקדימה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וקאתה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רעים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מכולם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לשמים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ולבריות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והושחתה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רפואה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נתגאו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העתידים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גפרית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כמהפכת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ועמורה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וצבויים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ובחמתו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באומות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רעים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וחטאים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ככה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למעלת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היכל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'. 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עתיד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לבאר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בסדר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ויקרא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יחייני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הממית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והמחיה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25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26">
      <w:pPr>
        <w:pStyle w:val="Heading6"/>
        <w:bidi w:val="1"/>
        <w:spacing w:before="0" w:line="360" w:lineRule="auto"/>
        <w:jc w:val="both"/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ויקרא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color w:val="000000"/>
          <w:sz w:val="20"/>
          <w:szCs w:val="20"/>
          <w:u w:val="single"/>
          <w:rtl w:val="1"/>
        </w:rPr>
        <w:t xml:space="preserve">כה</w:t>
      </w:r>
    </w:p>
    <w:p w:rsidR="00000000" w:rsidDel="00000000" w:rsidP="00000000" w:rsidRDefault="00000000" w:rsidRPr="00000000" w14:paraId="00000027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ותטמא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ואפקוד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עונה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ותקיא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הארץ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החמיר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שתטמא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ותקיא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הנפשות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העריות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בכתוב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בהנחל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עליון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גוים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בהפרידו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יצב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גבולות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עמים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הנכבד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התחתונים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בעליונים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בארצותם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לגוייהם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ומזל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באצטגנינות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וגבוהים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דניאל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לנגדי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ונקראים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נותרתי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הנכבד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ואדוני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אמצעות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מיוחדת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המלאכים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קצין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ומושל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בהנחילו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המיחד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אוהביו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והייתם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ירמיה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והייתם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בקדושת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העריות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וברובי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ושמרתם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חוקותי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משפטי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ועשיתם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תירשו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אדמתם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אתננה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הבדלתי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הבדיל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יתברך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מיוחדים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הנכבד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מטמא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תסבול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עובדי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ומגלים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2A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2B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בחוצה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שהכל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הנכבד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טהרה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שלימה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המשרתים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2C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2D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הנכבד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יתברך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האלוהות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נכרים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ובנחלתו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ממיתים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הכותיים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נענשים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בעבדם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ובבואם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כמעשיהם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הממיתים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בספרא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קדושים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תקיא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',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כשאר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ארצות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מקיימת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עוברי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ובספרי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האזינו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שטו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נכר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תהא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לאחד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משרי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האומות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לבא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לשלוט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בכם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מאמרם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כתובות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הדר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בחוצה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דומה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כמי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אלוה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כנען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גרשוני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מהסתפח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בנחלת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2E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בתוספתא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לתת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כנען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כנען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לאלהים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כנען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כביכול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לאלהים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כארבעים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חלוצי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צבא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עברו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דהי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ונכבשה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ולפני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תעלה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דעתך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מכבשין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מכובשת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מכובשת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30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ומן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בספרי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ואבדתם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לחוצה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מצויינין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במצות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שכשתחזרו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עליכם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חדשים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לאדון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שכעס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ושלחה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מתקשטת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תכשיטים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שכשתחזרי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ירמיה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הציבי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מצוינין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32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ואבדתם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מהרה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ושמתם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מחייב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בגלות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בחובת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הגוף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כתפילין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ומזוזות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ופירשו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חדשים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כשנחזור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עיקר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ליושבים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ולפיכך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בספרי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וירשתם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וישבתם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ושמרתם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,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ישיבת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שקולה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כנגד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שבתורה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בתוספתא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</w:p>
    <w:p w:rsidR="00000000" w:rsidDel="00000000" w:rsidP="00000000" w:rsidRDefault="00000000" w:rsidRPr="00000000" w14:paraId="00000033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34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וזו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יעקב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אבינו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לביתו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בשעת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ביאתם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לארץ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הסירו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בתוככם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והטהרו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והשם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לבדו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נתכנו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עלילות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שמתה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רחל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בתחילת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בואם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בזכותה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מתה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בחוצה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ובזכותו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אחיות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הנשאת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באיסור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האחוה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שנתעברה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מבנימין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שהזכרנו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35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36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מיכאל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דניאל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לבקש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רחמים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וממשלה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ללחום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בחזקיהו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בהיותנו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בחוצה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37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לפרש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בענין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תזכה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הנזכרת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בפסוק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והנזכרת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בחקותי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תדע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נשגב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ונעלם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ותבין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רבותינו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תנחומא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ויקהל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מעלה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מכוון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כנגד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מטה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וכבר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רמזתי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בפסוק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הזכיר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כנען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נענשו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העריות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ורבותינו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שהוזהרו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היצירה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ולנח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יזכיר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האזהרה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תתעב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התועבות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כנען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המוזהרים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והפרשה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הזכיר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התועבות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גוייהם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הענין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למעלת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וקדושתה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ותקיא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שפקד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שנגזר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הכנענים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להכרת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הקיאה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ותקיא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: </w:t>
      </w:r>
    </w:p>
    <w:p w:rsidR="00000000" w:rsidDel="00000000" w:rsidP="00000000" w:rsidRDefault="00000000" w:rsidRPr="00000000" w14:paraId="00000039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ויקרא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ו</w:t>
      </w:r>
    </w:p>
    <w:p w:rsidR="00000000" w:rsidDel="00000000" w:rsidP="00000000" w:rsidRDefault="00000000" w:rsidRPr="00000000" w14:paraId="0000003B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השבתי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חיה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רעה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הארץ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מעבירן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כפשוטו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יבואו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בארצם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תבאנה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משביתן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יזיקו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והשבתי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רעת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החיות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3C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הנכון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קיום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המצות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מתחילתו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חטאו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ורמש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ממית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וכמו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ברכות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ערוד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ממית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חטא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ממית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ושעשע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יונק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תרענה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הטרף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חטאו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טרף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הטרף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לטרוף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בטרפם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יחזקאל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לטרוף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טרף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3D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בבריאתו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לאכלה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לאכלה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הטרף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החטא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הממית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וכשהותר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שחיטת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המבול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והזהיר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לנפשותיכם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בחברתה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נשארו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מנהגם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לטרוף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ובהיות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השלמות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תשבת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רעת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מנהגם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ויעמדו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הטבע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הושם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יצירתם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וכבר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הזכרתי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בסדר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תולדות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): </w:t>
      </w:r>
    </w:p>
    <w:p w:rsidR="00000000" w:rsidDel="00000000" w:rsidP="00000000" w:rsidRDefault="00000000" w:rsidRPr="00000000" w14:paraId="0000003E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מגזע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הטרף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הבהמה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בטבעם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והכוונה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חזקיהו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שביקש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העתיד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3F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השגות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לספר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לרמב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שכחת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העשין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</w:t>
      </w:r>
    </w:p>
    <w:p w:rsidR="00000000" w:rsidDel="00000000" w:rsidP="00000000" w:rsidRDefault="00000000" w:rsidRPr="00000000" w14:paraId="00000041">
      <w:pPr>
        <w:bidi w:val="1"/>
        <w:spacing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שנצטוינו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יתברך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ויתעלה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לאבותינו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לאברהם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ליצחק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וליעקב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נעזבה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זולתינו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האומות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לשממה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והורשתם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וישבתם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והתנחלתם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ונכפל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במקומות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נשבעתי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לאבותיכם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בגבוליה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ומצריה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ובואו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האמורי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ובשפלה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ובנגב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ובחוף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לראש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44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שהוציאני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מארצי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וטלטלני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ממקומי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עזבתי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נטשתי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נעשיתי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כעורב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אכזרי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שרצוני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טלטול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45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מרום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ממעיני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הישועה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שערי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47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שבחזון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והנגלית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48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ההסתכלות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הרזית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היטב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וגבול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לתושיה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ולברכה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49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נתגשם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בצביון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במרומים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יחפצון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להביט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בהסתכלות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רזית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שתצלח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שנתגשם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העשיה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מחמריותו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וגשמיותו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</w:p>
    <w:p w:rsidR="00000000" w:rsidDel="00000000" w:rsidP="00000000" w:rsidRDefault="00000000" w:rsidRPr="00000000" w14:paraId="0000004A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מתגלמת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בעיקר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אופפת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ומרחפת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ומרגיש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בנשגבות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הנסתר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המקיף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4B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מתעוררים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בלהט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ולהשיג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הנעלם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שמקופל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בגויל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הגלויים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המתגלים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מתנערים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מעפרם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ונצבים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מנצחים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קדושתם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ותפארתם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ומלאה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להשרות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מזדככת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שנעלם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</w:p>
    <w:p w:rsidR="00000000" w:rsidDel="00000000" w:rsidP="00000000" w:rsidRDefault="00000000" w:rsidRPr="00000000" w14:paraId="0000004C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הפרצים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שבאומה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הישראלית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המפרידים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הנראית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הנראית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הגורמים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האסונות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הרוחניים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שנתגלעו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בעקבתא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דמשיחא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4D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מתימרים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בחזיונם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הרוחניות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המפליאה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ומבטלים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והעדפה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מתימרים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בשירתם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ושוללים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החזיונות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הנעלמים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מכזבים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וטח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מחזיון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מראית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המעכבים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ולמרות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ספוגי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והחושך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ודוקא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צופיך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ירננו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פצחו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רננו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חרבות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ישועת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אלקינו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תגעו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נושאי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</w:p>
    <w:p w:rsidR="00000000" w:rsidDel="00000000" w:rsidP="00000000" w:rsidRDefault="00000000" w:rsidRPr="00000000" w14:paraId="0000004E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40" w:w="11907" w:orient="portrait"/>
      <w:pgMar w:bottom="567" w:top="567" w:left="567" w:right="567" w:header="720" w:footer="720"/>
      <w:pgNumType w:start="1"/>
      <w:cols w:equalWidth="0" w:num="2">
        <w:col w:space="708" w:w="5032.5"/>
        <w:col w:space="0" w:w="5032.5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avid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