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                             </w:t>
      </w:r>
    </w:p>
    <w:p w:rsidR="00000000" w:rsidDel="00000000" w:rsidP="00000000" w:rsidRDefault="00000000" w:rsidRPr="00000000" w14:paraId="00000002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after="0" w:line="360" w:lineRule="auto"/>
        <w:jc w:val="center"/>
        <w:rPr>
          <w:rFonts w:ascii="David" w:cs="David" w:eastAsia="David" w:hAnsi="David"/>
          <w:b w:val="1"/>
          <w:sz w:val="30"/>
          <w:szCs w:val="30"/>
        </w:rPr>
      </w:pPr>
      <w:r w:rsidDel="00000000" w:rsidR="00000000" w:rsidRPr="00000000">
        <w:rPr>
          <w:rFonts w:ascii="David" w:cs="David" w:eastAsia="David" w:hAnsi="David"/>
          <w:b w:val="1"/>
          <w:sz w:val="30"/>
          <w:szCs w:val="30"/>
          <w:rtl w:val="1"/>
        </w:rPr>
        <w:t xml:space="preserve">הוויכוח</w:t>
      </w:r>
      <w:r w:rsidDel="00000000" w:rsidR="00000000" w:rsidRPr="00000000">
        <w:rPr>
          <w:rFonts w:ascii="David" w:cs="David" w:eastAsia="David" w:hAnsi="David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30"/>
          <w:szCs w:val="30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30"/>
          <w:szCs w:val="30"/>
          <w:rtl w:val="1"/>
        </w:rPr>
        <w:t xml:space="preserve">חב</w:t>
      </w:r>
      <w:r w:rsidDel="00000000" w:rsidR="00000000" w:rsidRPr="00000000">
        <w:rPr>
          <w:rFonts w:ascii="David" w:cs="David" w:eastAsia="David" w:hAnsi="David"/>
          <w:b w:val="1"/>
          <w:sz w:val="30"/>
          <w:szCs w:val="3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30"/>
          <w:szCs w:val="3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30"/>
          <w:szCs w:val="30"/>
          <w:rtl w:val="1"/>
        </w:rPr>
        <w:t xml:space="preserve">לציונות</w:t>
      </w:r>
      <w:r w:rsidDel="00000000" w:rsidR="00000000" w:rsidRPr="00000000">
        <w:rPr>
          <w:rFonts w:ascii="David" w:cs="David" w:eastAsia="David" w:hAnsi="David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30"/>
          <w:szCs w:val="30"/>
          <w:rtl w:val="1"/>
        </w:rPr>
        <w:t xml:space="preserve">הדתית</w:t>
      </w:r>
      <w:r w:rsidDel="00000000" w:rsidR="00000000" w:rsidRPr="00000000">
        <w:rPr>
          <w:rFonts w:ascii="David" w:cs="David" w:eastAsia="David" w:hAnsi="David"/>
          <w:b w:val="1"/>
          <w:sz w:val="30"/>
          <w:szCs w:val="30"/>
          <w:rtl w:val="1"/>
        </w:rPr>
        <w:t xml:space="preserve"> </w:t>
      </w:r>
    </w:p>
    <w:p w:rsidR="00000000" w:rsidDel="00000000" w:rsidP="00000000" w:rsidRDefault="00000000" w:rsidRPr="00000000" w14:paraId="00000004">
      <w:pPr>
        <w:bidi w:val="1"/>
        <w:spacing w:after="0" w:line="360" w:lineRule="auto"/>
        <w:jc w:val="center"/>
        <w:rPr>
          <w:rFonts w:ascii="David" w:cs="David" w:eastAsia="David" w:hAnsi="David"/>
          <w:b w:val="1"/>
          <w:sz w:val="30"/>
          <w:szCs w:val="30"/>
        </w:rPr>
      </w:pPr>
      <w:r w:rsidDel="00000000" w:rsidR="00000000" w:rsidRPr="00000000">
        <w:rPr>
          <w:rFonts w:ascii="David" w:cs="David" w:eastAsia="David" w:hAnsi="David"/>
          <w:b w:val="1"/>
          <w:sz w:val="30"/>
          <w:szCs w:val="30"/>
          <w:rtl w:val="1"/>
        </w:rPr>
        <w:t xml:space="preserve">בהבנת</w:t>
      </w:r>
      <w:r w:rsidDel="00000000" w:rsidR="00000000" w:rsidRPr="00000000">
        <w:rPr>
          <w:rFonts w:ascii="David" w:cs="David" w:eastAsia="David" w:hAnsi="David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30"/>
          <w:szCs w:val="30"/>
          <w:rtl w:val="1"/>
        </w:rPr>
        <w:t xml:space="preserve">דעת</w:t>
      </w:r>
      <w:r w:rsidDel="00000000" w:rsidR="00000000" w:rsidRPr="00000000">
        <w:rPr>
          <w:rFonts w:ascii="David" w:cs="David" w:eastAsia="David" w:hAnsi="David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30"/>
          <w:szCs w:val="30"/>
          <w:rtl w:val="1"/>
        </w:rPr>
        <w:t xml:space="preserve">הרמב</w:t>
      </w:r>
      <w:r w:rsidDel="00000000" w:rsidR="00000000" w:rsidRPr="00000000">
        <w:rPr>
          <w:rFonts w:ascii="David" w:cs="David" w:eastAsia="David" w:hAnsi="David"/>
          <w:b w:val="1"/>
          <w:sz w:val="30"/>
          <w:szCs w:val="3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30"/>
          <w:szCs w:val="3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30"/>
          <w:szCs w:val="30"/>
          <w:rtl w:val="1"/>
        </w:rPr>
        <w:t xml:space="preserve">ביחס</w:t>
      </w:r>
      <w:r w:rsidDel="00000000" w:rsidR="00000000" w:rsidRPr="00000000">
        <w:rPr>
          <w:rFonts w:ascii="David" w:cs="David" w:eastAsia="David" w:hAnsi="David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30"/>
          <w:szCs w:val="30"/>
          <w:rtl w:val="1"/>
        </w:rPr>
        <w:t xml:space="preserve">למשיח</w:t>
      </w:r>
      <w:r w:rsidDel="00000000" w:rsidR="00000000" w:rsidRPr="00000000">
        <w:rPr>
          <w:rFonts w:ascii="David" w:cs="David" w:eastAsia="David" w:hAnsi="David"/>
          <w:b w:val="1"/>
          <w:sz w:val="30"/>
          <w:szCs w:val="30"/>
          <w:rtl w:val="1"/>
        </w:rPr>
        <w:t xml:space="preserve"> – </w:t>
      </w:r>
      <w:r w:rsidDel="00000000" w:rsidR="00000000" w:rsidRPr="00000000">
        <w:rPr>
          <w:rFonts w:ascii="David" w:cs="David" w:eastAsia="David" w:hAnsi="David"/>
          <w:b w:val="1"/>
          <w:sz w:val="30"/>
          <w:szCs w:val="3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b w:val="1"/>
          <w:sz w:val="30"/>
          <w:szCs w:val="3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30"/>
          <w:szCs w:val="30"/>
          <w:rtl w:val="1"/>
        </w:rPr>
        <w:t xml:space="preserve">א</w:t>
      </w:r>
    </w:p>
    <w:p w:rsidR="00000000" w:rsidDel="00000000" w:rsidP="00000000" w:rsidRDefault="00000000" w:rsidRPr="00000000" w14:paraId="00000005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רמב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הלכות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מלכים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פרק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יא</w:t>
      </w:r>
    </w:p>
    <w:p w:rsidR="00000000" w:rsidDel="00000000" w:rsidP="00000000" w:rsidRDefault="00000000" w:rsidRPr="00000000" w14:paraId="00000007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הלכה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המשיח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עתיד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לעמוד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ולהחזיר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מלכות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ליושנה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לממשלה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הראשונה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ובונה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המקדש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ומקבץ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נדחי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וחוזרין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המשפטים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בימיו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כשהיו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מקודם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מקריבין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קרבנות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ועושין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שמטין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ויובלות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מצותה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האמורה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שאינו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מאמין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שאינו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מחכה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לביאתו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בשאר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נביאים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בלבד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כופר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ובמשה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העידה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ושב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אלהיך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שבותך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ורחמך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ושב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וקבצך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וגו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נדחך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בקצה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השמים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וגו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והביאך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הדברים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המפורשים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כוללים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הדברים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שנאמרו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ידי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הנביאים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בפרשת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בלעם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ושם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נבא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בשני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המשיחים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במשיח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הראשון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שהושיע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מיד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צריהם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ובמשיח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האחרון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שעומד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מבניו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שמושיע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מיד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עשו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ושם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אראנו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עתה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אשורנו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קרוב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המשיח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דרך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כוכב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מיעקב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וקם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שבט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המשיח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ומחץ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פאתי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מואב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מואב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וימדדם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בחבל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וקרקר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המשיח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ומשלו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אדום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ירשה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ותהי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אדום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לדוד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לעבדים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וגו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ירשה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וגו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המשיח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ועלו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מושיעים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בהר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ציון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וגו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'. </w:t>
      </w:r>
    </w:p>
    <w:p w:rsidR="00000000" w:rsidDel="00000000" w:rsidP="00000000" w:rsidRDefault="00000000" w:rsidRPr="00000000" w14:paraId="00000008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הלכה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ב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בערי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מקלט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ירחיב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אלהיך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גבולך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ויספת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וגו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ומעולם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צוה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הקדוש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ברוך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לתוהו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אבל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בדברי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הנביאים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הדבר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צריך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ראייה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הספרים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מלאים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בדבר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</w:p>
    <w:p w:rsidR="00000000" w:rsidDel="00000000" w:rsidP="00000000" w:rsidRDefault="00000000" w:rsidRPr="00000000" w14:paraId="0000000A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after="0" w:line="360" w:lineRule="auto"/>
        <w:jc w:val="both"/>
        <w:rPr>
          <w:rFonts w:ascii="David" w:cs="David" w:eastAsia="David" w:hAnsi="David"/>
          <w:sz w:val="16"/>
          <w:szCs w:val="16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הלכה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ג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יעלה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דעתך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שהמלך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המשיח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צריך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לעשות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אותות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ומופתים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ומחדש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דברים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בעולם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מחיה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מתים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וכיוצא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בדברים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הדבר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עקיבא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חכם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גדול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מחכמי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נושא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כוזיבא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המשיח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ודימה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חכמי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דורו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המשיח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שנהרג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בעונות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שנהרג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נודע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שאינו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שאלו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ממנו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חכמים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מופת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ועיקר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הדברים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ככה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הזאת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חוקיה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ומשפטיה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לעולם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ולעולמי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עולמים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מוסיפין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עליהן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גורעין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מהן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המוסיף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גורע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שגלה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פנים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והוציא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הדברים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מצוות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מפשוטן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בודאי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רשע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ואפיקורוס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+/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השגת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הראב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/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יעלה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דעתך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וכו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',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והלא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כוזיבא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אומר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אנא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מלכא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משיחא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ושלחו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חכמים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לבדקו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אי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מורח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ודאין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וכיון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דלא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עביד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הכי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קטלוהו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.+ </w:t>
      </w:r>
    </w:p>
    <w:p w:rsidR="00000000" w:rsidDel="00000000" w:rsidP="00000000" w:rsidRDefault="00000000" w:rsidRPr="00000000" w14:paraId="0000000C">
      <w:pPr>
        <w:bidi w:val="1"/>
        <w:spacing w:after="0" w:line="360" w:lineRule="auto"/>
        <w:jc w:val="both"/>
        <w:rPr>
          <w:rFonts w:ascii="David" w:cs="David" w:eastAsia="David" w:hAnsi="Davi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הלכה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יעמוד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מבית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הוגה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ועוסק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במצוות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כדוד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אביו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כפי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שבכתב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ושבעל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ויכוף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לילך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ולחזק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בדקה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וילחם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מלחמות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בחזקת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והצליח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ונצח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האומות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שסביביו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ובנה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מקדש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במקומו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וקבץ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נדחי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בודאי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הצליח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נהרג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בידוע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שאינו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שהבטיחה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השלמים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הכשרים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שמתו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העמידו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הקדוש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ברוך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לנסות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המשכילים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יכשלו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לצרוף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בהן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ולברר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וללבן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למועד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ישוע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הנצרי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שדמה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שיהיה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ונהרג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בבית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נתנבא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דניאל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ובני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פריצי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עמך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ינשאו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להעמיד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חזון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ונכשלו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מכשול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גדול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הנביאים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דברו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שהמשיח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גואל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ומושיעם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ומקבץ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נדחיהם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ומחזק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מצותן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גרם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לאבד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בחרב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ולפזר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שאריתם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ולהשפילם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ולהחליף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ולהטעות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רוב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העולם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לעבוד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אלוה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מבלעדי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אבל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מחשבות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בורא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עולם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באדם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להשיגם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דרכינו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דרכיו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מחשבותינו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מחשבותיו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הדברים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ישוע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הנצרי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הישמעאלי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שעמד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אחריו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אינן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לישר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דרך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למלך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המשיח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ולתקן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העולם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כולו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לעבוד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ביחד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אהפוך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עמים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שפה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ברורה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לקרוא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כולם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בשם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ולעבדו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שכם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כיצד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נתמלא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העולם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כולו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מדברי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המשיח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ומדברי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ומדברי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המצוות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ופשטו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דברים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באיים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רחוקים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ובעמים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ערלי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נושאים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ונותנים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בדברים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ובמצוות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אומרים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מצוות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בטלו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בזמן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נוהגות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לדורות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אומרים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דברים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נסתרות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ואינן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כפשוטן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וגלה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נסתריהם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וכשיעמוד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המשיח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באמת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ויצליח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וירום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וינשא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מיד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כולן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חוזרין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ויודעים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ששקר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נחלו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אבותיהם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ושנביאיהם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ואבותיהם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הטעום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0E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רמב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הלכות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מלכים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פרק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יב</w:t>
      </w:r>
    </w:p>
    <w:p w:rsidR="00000000" w:rsidDel="00000000" w:rsidP="00000000" w:rsidRDefault="00000000" w:rsidRPr="00000000" w14:paraId="00000010">
      <w:pPr>
        <w:bidi w:val="1"/>
        <w:spacing w:after="0" w:line="360" w:lineRule="auto"/>
        <w:jc w:val="both"/>
        <w:rPr>
          <w:rFonts w:ascii="David" w:cs="David" w:eastAsia="David" w:hAnsi="David"/>
          <w:sz w:val="16"/>
          <w:szCs w:val="16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הלכה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יעלה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הלב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שבימות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המשיח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יבטל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ממנהגו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עולם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חידוש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במעשה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בראשית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עולם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כמנהגו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נוהג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בישעיה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וגר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זאב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כבש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ונמר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גדי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ירבץ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וחידה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ענין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הדבר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שיהיו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יושבין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לבטח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רשעי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עכו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המשולים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כזאב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ונמר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זאב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ערבות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ישדדם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ונמר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שוקד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עריהם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ויחזרו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כולם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לדת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האמת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יגזלו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ישחיתו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יאכלו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המותר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בנחת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ואריה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כבקר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יאכל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כיוצא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באלו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הדברים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בענין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המשיח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משלים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ובימות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המשיח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יודע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ענין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רמזו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בהן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+/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השגת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הראב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/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יעלה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הלב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שבימות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המשיח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כו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עד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משלים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והלא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בתורה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והשבתי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חיה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רעה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הארץ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.+ </w:t>
      </w:r>
    </w:p>
    <w:p w:rsidR="00000000" w:rsidDel="00000000" w:rsidP="00000000" w:rsidRDefault="00000000" w:rsidRPr="00000000" w14:paraId="00000011">
      <w:pPr>
        <w:bidi w:val="1"/>
        <w:spacing w:after="0" w:line="360" w:lineRule="auto"/>
        <w:jc w:val="both"/>
        <w:rPr>
          <w:rFonts w:ascii="David" w:cs="David" w:eastAsia="David" w:hAnsi="Davi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הלכה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ב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חכמים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העולם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לימות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המשיח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שיעבוד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מלכיות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בלבד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יראה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מפשוטן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דברי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הנביאים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שבתחילת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ימות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המשיח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מלחמת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גוג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ומגוג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ושקודם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מלחמת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גוג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ומגוג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יעמוד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נביא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לישר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ולהכין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לבם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אנכי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שולח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לכם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וגו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לטמא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הטהור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לטהר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הטמא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לפסול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אנשים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בחזקת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כשרות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להכשיר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שהוחזקו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פסולין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לשום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שלום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בעולם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והשיב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אבות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בנים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החכמים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שאומרים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שקודם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המשיח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יבא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אליהו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הדברים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וכיוצא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בהן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ידע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אדם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יהיו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שיהיו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שדברים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סתומין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אצל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הנביאים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החכמים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קבלה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בדברים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לפי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הכרע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הפסוקים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ולפיכך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מחלוקת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בדברים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פנים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סדור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הויית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דברים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דקדוקיהן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עיקר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בדת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ולעולם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יתעסק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אדם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בדברי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ההגדות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יאריך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במדרשות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האמורים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בענינים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וכיוצא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בהן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ישימם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עיקר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שאין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מביאין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לידי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יראה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לידי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אהבה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יחשב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הקצין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חכמים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תפח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רוחם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מחשבי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הקצים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יחכה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ויאמין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בכלל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הדבר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כמו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שבארנו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</w:p>
    <w:p w:rsidR="00000000" w:rsidDel="00000000" w:rsidP="00000000" w:rsidRDefault="00000000" w:rsidRPr="00000000" w14:paraId="00000013">
      <w:pPr>
        <w:bidi w:val="1"/>
        <w:spacing w:after="0" w:line="360" w:lineRule="auto"/>
        <w:jc w:val="both"/>
        <w:rPr>
          <w:rFonts w:ascii="David" w:cs="David" w:eastAsia="David" w:hAnsi="David"/>
          <w:sz w:val="18"/>
          <w:szCs w:val="18"/>
        </w:rPr>
      </w:pPr>
      <w:r w:rsidDel="00000000" w:rsidR="00000000" w:rsidRPr="00000000">
        <w:rPr>
          <w:rFonts w:ascii="David" w:cs="David" w:eastAsia="David" w:hAnsi="David"/>
          <w:sz w:val="18"/>
          <w:szCs w:val="18"/>
          <w:u w:val="single"/>
          <w:rtl w:val="1"/>
        </w:rPr>
        <w:t xml:space="preserve">הלכה</w:t>
      </w:r>
      <w:r w:rsidDel="00000000" w:rsidR="00000000" w:rsidRPr="00000000">
        <w:rPr>
          <w:rFonts w:ascii="David" w:cs="David" w:eastAsia="David" w:hAnsi="David"/>
          <w:sz w:val="18"/>
          <w:szCs w:val="18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u w:val="single"/>
          <w:rtl w:val="1"/>
        </w:rPr>
        <w:t xml:space="preserve">ג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בימי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המלך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המשיח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כשתתיישב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ממלכתו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ויתקבצו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אליו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יתייחסו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כולם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פיו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ברוח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הקודש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שתנוח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עליו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שנאמר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וישב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מצרף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ומטהר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וגו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',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ובני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לוי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מטהר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תחילה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ואומר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מיוחס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כהן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וזה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מיוחס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לוי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ודוחה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שאינן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מיוחסין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לישראל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הרי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אומר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ויאמר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התרשתא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להם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וגו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עד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עמוד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כהן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לאורים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ולתומים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הנה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למדת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שברוח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הקודש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מייחסין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המוחזקין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ומודיעין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המיוחס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ואינו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מייחס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לשבטיהם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שמודיע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שזה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משבט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פלוני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וזה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משבט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פלוני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אבל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אינו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אומר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שהן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בחזקת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כשרות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ממזר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וזה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עבד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שהדין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שמשפחה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שנטמעה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נטמעה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. </w:t>
      </w:r>
    </w:p>
    <w:p w:rsidR="00000000" w:rsidDel="00000000" w:rsidP="00000000" w:rsidRDefault="00000000" w:rsidRPr="00000000" w14:paraId="00000014">
      <w:pPr>
        <w:bidi w:val="1"/>
        <w:spacing w:after="0" w:line="360" w:lineRule="auto"/>
        <w:jc w:val="both"/>
        <w:rPr>
          <w:rFonts w:ascii="David" w:cs="David" w:eastAsia="David" w:hAnsi="David"/>
          <w:sz w:val="18"/>
          <w:szCs w:val="18"/>
        </w:rPr>
      </w:pPr>
      <w:r w:rsidDel="00000000" w:rsidR="00000000" w:rsidRPr="00000000">
        <w:rPr>
          <w:rFonts w:ascii="David" w:cs="David" w:eastAsia="David" w:hAnsi="David"/>
          <w:sz w:val="18"/>
          <w:szCs w:val="18"/>
          <w:u w:val="single"/>
          <w:rtl w:val="1"/>
        </w:rPr>
        <w:t xml:space="preserve">הלכה</w:t>
      </w:r>
      <w:r w:rsidDel="00000000" w:rsidR="00000000" w:rsidRPr="00000000">
        <w:rPr>
          <w:rFonts w:ascii="David" w:cs="David" w:eastAsia="David" w:hAnsi="David"/>
          <w:sz w:val="18"/>
          <w:szCs w:val="18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u w:val="single"/>
          <w:rtl w:val="1"/>
        </w:rPr>
        <w:t xml:space="preserve">ד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נתאוו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החכמים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והנביאים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ימות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המשיח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כדי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שישלטו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העולם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כדי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שירדו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בעכו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כדי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שינשאו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אותם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העמים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כדי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לאכול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ולשתות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ולשמוח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כדי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שיהיו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פנויין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בתורה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וחכמתה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יהיה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להם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נוגש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ומבטל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כדי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שיזכו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לחיי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העולם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הבא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כמו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שביארנו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בהלכות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תשובה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. </w:t>
      </w:r>
    </w:p>
    <w:p w:rsidR="00000000" w:rsidDel="00000000" w:rsidP="00000000" w:rsidRDefault="00000000" w:rsidRPr="00000000" w14:paraId="00000015">
      <w:pPr>
        <w:bidi w:val="1"/>
        <w:spacing w:after="0" w:line="360" w:lineRule="auto"/>
        <w:jc w:val="both"/>
        <w:rPr>
          <w:rFonts w:ascii="David" w:cs="David" w:eastAsia="David" w:hAnsi="David"/>
          <w:sz w:val="18"/>
          <w:szCs w:val="18"/>
        </w:rPr>
      </w:pPr>
      <w:r w:rsidDel="00000000" w:rsidR="00000000" w:rsidRPr="00000000">
        <w:rPr>
          <w:rFonts w:ascii="David" w:cs="David" w:eastAsia="David" w:hAnsi="David"/>
          <w:sz w:val="18"/>
          <w:szCs w:val="18"/>
          <w:u w:val="single"/>
          <w:rtl w:val="1"/>
        </w:rPr>
        <w:t xml:space="preserve">הלכה</w:t>
      </w:r>
      <w:r w:rsidDel="00000000" w:rsidR="00000000" w:rsidRPr="00000000">
        <w:rPr>
          <w:rFonts w:ascii="David" w:cs="David" w:eastAsia="David" w:hAnsi="David"/>
          <w:sz w:val="18"/>
          <w:szCs w:val="18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u w:val="single"/>
          <w:rtl w:val="1"/>
        </w:rPr>
        <w:t xml:space="preserve">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ובאותו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הזמן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יהיה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שם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רעב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מלחמה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קנאה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ותחרות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שהטובה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תהיה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מושפעת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הרבה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וכל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המעדנים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מצויין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כעפר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יהיה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עסק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העולם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לדעת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בלבד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ולפיכך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יהיו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חכמים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גדולים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ויודעים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דברים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הסתומים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וישיגו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דעת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בוראם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כפי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כח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האדם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שנאמר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מלאה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הארץ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דעה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כמים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לים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מכסים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.</w:t>
      </w:r>
    </w:p>
    <w:p w:rsidR="00000000" w:rsidDel="00000000" w:rsidP="00000000" w:rsidRDefault="00000000" w:rsidRPr="00000000" w14:paraId="00000016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תורת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מנחם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נח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שנת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התש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חלק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ראשון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שיחת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מוצש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וישלח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ט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כסלו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'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תש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עמ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' 384-385</w:t>
      </w:r>
    </w:p>
    <w:p w:rsidR="00000000" w:rsidDel="00000000" w:rsidP="00000000" w:rsidRDefault="00000000" w:rsidRPr="00000000" w14:paraId="00000018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"... 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וכאמור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שישנו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מפורש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בדברי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הרמב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שצריך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לעמוד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מבית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הוגה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ועוסק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במצות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כדוד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אביו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..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ויכוף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לילך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ולחזק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בדקה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וילחם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מלחמות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'"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וינצח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עדיין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בחזקת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בוודאות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שנמצאים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עדיין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בגלות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;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ורק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לאחרי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מקדש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במקומו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וקבץ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נדחי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–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בודאי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19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ובזה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מודגש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סדר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הדברים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–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הסדר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בדברי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הרמב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וכפי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שלמדים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דינים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מקדימה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ואיחור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בדברי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הרמב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–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שתחילה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יהי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בנין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ביהמ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יהי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קיבוץ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גלויות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הרמב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בסוף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פרק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מקדש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במקומו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וקבץ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נדחי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בתחלת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הפרק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בקיצור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): 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ובונה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המקדש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ומקבץ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נדחי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1A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שבפרק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כותב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הרמב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הדברים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..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ידע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אדם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יהיו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שיהיו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..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החכמים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קבלה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בדברים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 –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בנוגע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לענינים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שאודותם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מדובר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בפי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בנוגע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לפנ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ברור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בסגנון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1B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וכיון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שאין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השגות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–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מהראב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מהכסף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הבית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-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יוסף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מחבר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השו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מהרדב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ושאר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פוסקים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–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ברור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שאין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מחלוקת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1C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מובן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שנמצאים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עדיין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בגלות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ועד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שגם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כאשר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יהי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הענין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יכוף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..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וילחם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מלחמות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'",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יהי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בחזקת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מקדש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במקומו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וקבץ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נדחי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אבל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נמצאים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עדיין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בגלות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;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ועאכו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כאשר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עדיין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הענין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יכוף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לילך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ולחזק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בדקה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פשוט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שנמצאים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עדיין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הגלות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'".</w:t>
      </w:r>
    </w:p>
    <w:p w:rsidR="00000000" w:rsidDel="00000000" w:rsidP="00000000" w:rsidRDefault="00000000" w:rsidRPr="00000000" w14:paraId="0000001D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sz w:val="20"/>
          <w:szCs w:val="20"/>
          <w:u w:val="single"/>
        </w:rPr>
      </w:pPr>
      <w:hyperlink r:id="rId6">
        <w:r w:rsidDel="00000000" w:rsidR="00000000" w:rsidRPr="00000000">
          <w:rPr>
            <w:rFonts w:ascii="David" w:cs="David" w:eastAsia="David" w:hAnsi="David"/>
            <w:b w:val="1"/>
            <w:color w:val="000000"/>
            <w:sz w:val="20"/>
            <w:szCs w:val="20"/>
            <w:u w:val="single"/>
            <w:rtl w:val="1"/>
          </w:rPr>
          <w:t xml:space="preserve">תורת</w:t>
        </w:r>
      </w:hyperlink>
      <w:hyperlink r:id="rId7">
        <w:r w:rsidDel="00000000" w:rsidR="00000000" w:rsidRPr="00000000">
          <w:rPr>
            <w:rFonts w:ascii="David" w:cs="David" w:eastAsia="David" w:hAnsi="David"/>
            <w:b w:val="1"/>
            <w:color w:val="000000"/>
            <w:sz w:val="20"/>
            <w:szCs w:val="20"/>
            <w:u w:val="single"/>
            <w:rtl w:val="1"/>
          </w:rPr>
          <w:t xml:space="preserve"> </w:t>
        </w:r>
      </w:hyperlink>
      <w:hyperlink r:id="rId8">
        <w:r w:rsidDel="00000000" w:rsidR="00000000" w:rsidRPr="00000000">
          <w:rPr>
            <w:rFonts w:ascii="David" w:cs="David" w:eastAsia="David" w:hAnsi="David"/>
            <w:b w:val="1"/>
            <w:color w:val="000000"/>
            <w:sz w:val="20"/>
            <w:szCs w:val="20"/>
            <w:u w:val="single"/>
            <w:rtl w:val="1"/>
          </w:rPr>
          <w:t xml:space="preserve">מנחם</w:t>
        </w:r>
      </w:hyperlink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0"/>
        </w:rPr>
        <w:t xml:space="preserve"> </w:t>
      </w:r>
      <w:hyperlink r:id="rId9">
        <w:r w:rsidDel="00000000" w:rsidR="00000000" w:rsidRPr="00000000">
          <w:rPr>
            <w:rFonts w:ascii="David" w:cs="David" w:eastAsia="David" w:hAnsi="David"/>
            <w:b w:val="1"/>
            <w:color w:val="000000"/>
            <w:sz w:val="20"/>
            <w:szCs w:val="20"/>
            <w:u w:val="single"/>
            <w:rtl w:val="1"/>
          </w:rPr>
          <w:t xml:space="preserve">סב</w:t>
        </w:r>
      </w:hyperlink>
      <w:hyperlink r:id="rId10">
        <w:r w:rsidDel="00000000" w:rsidR="00000000" w:rsidRPr="00000000">
          <w:rPr>
            <w:rFonts w:ascii="David" w:cs="David" w:eastAsia="David" w:hAnsi="David"/>
            <w:b w:val="1"/>
            <w:color w:val="000000"/>
            <w:sz w:val="20"/>
            <w:szCs w:val="20"/>
            <w:u w:val="single"/>
            <w:rtl w:val="1"/>
          </w:rPr>
          <w:t xml:space="preserve"> - </w:t>
        </w:r>
      </w:hyperlink>
      <w:hyperlink r:id="rId11">
        <w:r w:rsidDel="00000000" w:rsidR="00000000" w:rsidRPr="00000000">
          <w:rPr>
            <w:rFonts w:ascii="David" w:cs="David" w:eastAsia="David" w:hAnsi="David"/>
            <w:b w:val="1"/>
            <w:color w:val="000000"/>
            <w:sz w:val="20"/>
            <w:szCs w:val="20"/>
            <w:u w:val="single"/>
            <w:rtl w:val="1"/>
          </w:rPr>
          <w:t xml:space="preserve">שנת</w:t>
        </w:r>
      </w:hyperlink>
      <w:hyperlink r:id="rId12">
        <w:r w:rsidDel="00000000" w:rsidR="00000000" w:rsidRPr="00000000">
          <w:rPr>
            <w:rFonts w:ascii="David" w:cs="David" w:eastAsia="David" w:hAnsi="David"/>
            <w:b w:val="1"/>
            <w:color w:val="000000"/>
            <w:sz w:val="20"/>
            <w:szCs w:val="20"/>
            <w:u w:val="single"/>
            <w:rtl w:val="1"/>
          </w:rPr>
          <w:t xml:space="preserve"> </w:t>
        </w:r>
      </w:hyperlink>
      <w:hyperlink r:id="rId13">
        <w:r w:rsidDel="00000000" w:rsidR="00000000" w:rsidRPr="00000000">
          <w:rPr>
            <w:rFonts w:ascii="David" w:cs="David" w:eastAsia="David" w:hAnsi="David"/>
            <w:b w:val="1"/>
            <w:color w:val="000000"/>
            <w:sz w:val="20"/>
            <w:szCs w:val="20"/>
            <w:u w:val="single"/>
            <w:rtl w:val="1"/>
          </w:rPr>
          <w:t xml:space="preserve">תשל</w:t>
        </w:r>
      </w:hyperlink>
      <w:hyperlink r:id="rId14">
        <w:r w:rsidDel="00000000" w:rsidR="00000000" w:rsidRPr="00000000">
          <w:rPr>
            <w:rFonts w:ascii="David" w:cs="David" w:eastAsia="David" w:hAnsi="David"/>
            <w:b w:val="1"/>
            <w:color w:val="000000"/>
            <w:sz w:val="20"/>
            <w:szCs w:val="20"/>
            <w:u w:val="single"/>
            <w:rtl w:val="1"/>
          </w:rPr>
          <w:t xml:space="preserve">"</w:t>
        </w:r>
      </w:hyperlink>
      <w:hyperlink r:id="rId15">
        <w:r w:rsidDel="00000000" w:rsidR="00000000" w:rsidRPr="00000000">
          <w:rPr>
            <w:rFonts w:ascii="David" w:cs="David" w:eastAsia="David" w:hAnsi="David"/>
            <w:b w:val="1"/>
            <w:color w:val="000000"/>
            <w:sz w:val="20"/>
            <w:szCs w:val="20"/>
            <w:u w:val="single"/>
            <w:rtl w:val="1"/>
          </w:rPr>
          <w:t xml:space="preserve">א</w:t>
        </w:r>
      </w:hyperlink>
      <w:hyperlink r:id="rId16">
        <w:r w:rsidDel="00000000" w:rsidR="00000000" w:rsidRPr="00000000">
          <w:rPr>
            <w:rFonts w:ascii="David" w:cs="David" w:eastAsia="David" w:hAnsi="David"/>
            <w:b w:val="1"/>
            <w:color w:val="000000"/>
            <w:sz w:val="20"/>
            <w:szCs w:val="20"/>
            <w:u w:val="single"/>
            <w:rtl w:val="1"/>
          </w:rPr>
          <w:t xml:space="preserve"> - </w:t>
        </w:r>
      </w:hyperlink>
      <w:hyperlink r:id="rId17">
        <w:r w:rsidDel="00000000" w:rsidR="00000000" w:rsidRPr="00000000">
          <w:rPr>
            <w:rFonts w:ascii="David" w:cs="David" w:eastAsia="David" w:hAnsi="David"/>
            <w:b w:val="1"/>
            <w:color w:val="000000"/>
            <w:sz w:val="20"/>
            <w:szCs w:val="20"/>
            <w:u w:val="single"/>
            <w:rtl w:val="1"/>
          </w:rPr>
          <w:t xml:space="preserve">חלק</w:t>
        </w:r>
      </w:hyperlink>
      <w:hyperlink r:id="rId18">
        <w:r w:rsidDel="00000000" w:rsidR="00000000" w:rsidRPr="00000000">
          <w:rPr>
            <w:rFonts w:ascii="David" w:cs="David" w:eastAsia="David" w:hAnsi="David"/>
            <w:b w:val="1"/>
            <w:color w:val="000000"/>
            <w:sz w:val="20"/>
            <w:szCs w:val="20"/>
            <w:u w:val="single"/>
            <w:rtl w:val="1"/>
          </w:rPr>
          <w:t xml:space="preserve"> </w:t>
        </w:r>
      </w:hyperlink>
      <w:hyperlink r:id="rId19">
        <w:r w:rsidDel="00000000" w:rsidR="00000000" w:rsidRPr="00000000">
          <w:rPr>
            <w:rFonts w:ascii="David" w:cs="David" w:eastAsia="David" w:hAnsi="David"/>
            <w:b w:val="1"/>
            <w:color w:val="000000"/>
            <w:sz w:val="20"/>
            <w:szCs w:val="20"/>
            <w:u w:val="single"/>
            <w:rtl w:val="1"/>
          </w:rPr>
          <w:t xml:space="preserve">ראשון</w:t>
        </w:r>
      </w:hyperlink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0"/>
        </w:rPr>
        <w:t xml:space="preserve"> </w:t>
      </w:r>
      <w:hyperlink r:id="rId20">
        <w:r w:rsidDel="00000000" w:rsidR="00000000" w:rsidRPr="00000000">
          <w:rPr>
            <w:rFonts w:ascii="David" w:cs="David" w:eastAsia="David" w:hAnsi="David"/>
            <w:b w:val="1"/>
            <w:color w:val="000000"/>
            <w:sz w:val="20"/>
            <w:szCs w:val="20"/>
            <w:u w:val="single"/>
            <w:rtl w:val="1"/>
          </w:rPr>
          <w:t xml:space="preserve">שיחת</w:t>
        </w:r>
      </w:hyperlink>
      <w:hyperlink r:id="rId21">
        <w:r w:rsidDel="00000000" w:rsidR="00000000" w:rsidRPr="00000000">
          <w:rPr>
            <w:rFonts w:ascii="David" w:cs="David" w:eastAsia="David" w:hAnsi="David"/>
            <w:b w:val="1"/>
            <w:color w:val="000000"/>
            <w:sz w:val="20"/>
            <w:szCs w:val="20"/>
            <w:u w:val="single"/>
            <w:rtl w:val="1"/>
          </w:rPr>
          <w:t xml:space="preserve"> </w:t>
        </w:r>
      </w:hyperlink>
      <w:hyperlink r:id="rId22">
        <w:r w:rsidDel="00000000" w:rsidR="00000000" w:rsidRPr="00000000">
          <w:rPr>
            <w:rFonts w:ascii="David" w:cs="David" w:eastAsia="David" w:hAnsi="David"/>
            <w:b w:val="1"/>
            <w:color w:val="000000"/>
            <w:sz w:val="20"/>
            <w:szCs w:val="20"/>
            <w:u w:val="single"/>
            <w:rtl w:val="1"/>
          </w:rPr>
          <w:t xml:space="preserve">ש</w:t>
        </w:r>
      </w:hyperlink>
      <w:hyperlink r:id="rId23">
        <w:r w:rsidDel="00000000" w:rsidR="00000000" w:rsidRPr="00000000">
          <w:rPr>
            <w:rFonts w:ascii="David" w:cs="David" w:eastAsia="David" w:hAnsi="David"/>
            <w:b w:val="1"/>
            <w:color w:val="000000"/>
            <w:sz w:val="20"/>
            <w:szCs w:val="20"/>
            <w:u w:val="single"/>
            <w:rtl w:val="1"/>
          </w:rPr>
          <w:t xml:space="preserve">"</w:t>
        </w:r>
      </w:hyperlink>
      <w:hyperlink r:id="rId24">
        <w:r w:rsidDel="00000000" w:rsidR="00000000" w:rsidRPr="00000000">
          <w:rPr>
            <w:rFonts w:ascii="David" w:cs="David" w:eastAsia="David" w:hAnsi="David"/>
            <w:b w:val="1"/>
            <w:color w:val="000000"/>
            <w:sz w:val="20"/>
            <w:szCs w:val="20"/>
            <w:u w:val="single"/>
            <w:rtl w:val="1"/>
          </w:rPr>
          <w:t xml:space="preserve">פ</w:t>
        </w:r>
      </w:hyperlink>
      <w:hyperlink r:id="rId25">
        <w:r w:rsidDel="00000000" w:rsidR="00000000" w:rsidRPr="00000000">
          <w:rPr>
            <w:rFonts w:ascii="David" w:cs="David" w:eastAsia="David" w:hAnsi="David"/>
            <w:b w:val="1"/>
            <w:color w:val="000000"/>
            <w:sz w:val="20"/>
            <w:szCs w:val="20"/>
            <w:u w:val="single"/>
            <w:rtl w:val="1"/>
          </w:rPr>
          <w:t xml:space="preserve"> </w:t>
        </w:r>
      </w:hyperlink>
      <w:hyperlink r:id="rId26">
        <w:r w:rsidDel="00000000" w:rsidR="00000000" w:rsidRPr="00000000">
          <w:rPr>
            <w:rFonts w:ascii="David" w:cs="David" w:eastAsia="David" w:hAnsi="David"/>
            <w:b w:val="1"/>
            <w:color w:val="000000"/>
            <w:sz w:val="20"/>
            <w:szCs w:val="20"/>
            <w:u w:val="single"/>
            <w:rtl w:val="1"/>
          </w:rPr>
          <w:t xml:space="preserve">בראשית</w:t>
        </w:r>
      </w:hyperlink>
      <w:hyperlink r:id="rId27">
        <w:r w:rsidDel="00000000" w:rsidR="00000000" w:rsidRPr="00000000">
          <w:rPr>
            <w:rFonts w:ascii="David" w:cs="David" w:eastAsia="David" w:hAnsi="David"/>
            <w:b w:val="1"/>
            <w:color w:val="000000"/>
            <w:sz w:val="20"/>
            <w:szCs w:val="20"/>
            <w:u w:val="single"/>
            <w:rtl w:val="1"/>
          </w:rPr>
          <w:t xml:space="preserve">, </w:t>
        </w:r>
      </w:hyperlink>
      <w:hyperlink r:id="rId28">
        <w:r w:rsidDel="00000000" w:rsidR="00000000" w:rsidRPr="00000000">
          <w:rPr>
            <w:rFonts w:ascii="David" w:cs="David" w:eastAsia="David" w:hAnsi="David"/>
            <w:b w:val="1"/>
            <w:color w:val="000000"/>
            <w:sz w:val="20"/>
            <w:szCs w:val="20"/>
            <w:u w:val="single"/>
            <w:rtl w:val="1"/>
          </w:rPr>
          <w:t xml:space="preserve">מבה</w:t>
        </w:r>
      </w:hyperlink>
      <w:hyperlink r:id="rId29">
        <w:r w:rsidDel="00000000" w:rsidR="00000000" w:rsidRPr="00000000">
          <w:rPr>
            <w:rFonts w:ascii="David" w:cs="David" w:eastAsia="David" w:hAnsi="David"/>
            <w:b w:val="1"/>
            <w:color w:val="000000"/>
            <w:sz w:val="20"/>
            <w:szCs w:val="20"/>
            <w:u w:val="single"/>
            <w:rtl w:val="1"/>
          </w:rPr>
          <w:t xml:space="preserve">"</w:t>
        </w:r>
      </w:hyperlink>
      <w:hyperlink r:id="rId30">
        <w:r w:rsidDel="00000000" w:rsidR="00000000" w:rsidRPr="00000000">
          <w:rPr>
            <w:rFonts w:ascii="David" w:cs="David" w:eastAsia="David" w:hAnsi="David"/>
            <w:b w:val="1"/>
            <w:color w:val="000000"/>
            <w:sz w:val="20"/>
            <w:szCs w:val="20"/>
            <w:u w:val="single"/>
            <w:rtl w:val="1"/>
          </w:rPr>
          <w:t xml:space="preserve">ח</w:t>
        </w:r>
      </w:hyperlink>
      <w:hyperlink r:id="rId31">
        <w:r w:rsidDel="00000000" w:rsidR="00000000" w:rsidRPr="00000000">
          <w:rPr>
            <w:rFonts w:ascii="David" w:cs="David" w:eastAsia="David" w:hAnsi="David"/>
            <w:b w:val="1"/>
            <w:color w:val="000000"/>
            <w:sz w:val="20"/>
            <w:szCs w:val="20"/>
            <w:u w:val="single"/>
            <w:rtl w:val="1"/>
          </w:rPr>
          <w:t xml:space="preserve"> </w:t>
        </w:r>
      </w:hyperlink>
      <w:hyperlink r:id="rId32">
        <w:r w:rsidDel="00000000" w:rsidR="00000000" w:rsidRPr="00000000">
          <w:rPr>
            <w:rFonts w:ascii="David" w:cs="David" w:eastAsia="David" w:hAnsi="David"/>
            <w:b w:val="1"/>
            <w:color w:val="000000"/>
            <w:sz w:val="20"/>
            <w:szCs w:val="20"/>
            <w:u w:val="single"/>
            <w:rtl w:val="1"/>
          </w:rPr>
          <w:t xml:space="preserve">מרחשון</w:t>
        </w:r>
      </w:hyperlink>
      <w:hyperlink r:id="rId33">
        <w:r w:rsidDel="00000000" w:rsidR="00000000" w:rsidRPr="00000000">
          <w:rPr>
            <w:rFonts w:ascii="David" w:cs="David" w:eastAsia="David" w:hAnsi="David"/>
            <w:b w:val="1"/>
            <w:color w:val="000000"/>
            <w:sz w:val="20"/>
            <w:szCs w:val="20"/>
            <w:u w:val="single"/>
            <w:rtl w:val="1"/>
          </w:rPr>
          <w:t xml:space="preserve">, </w:t>
        </w:r>
      </w:hyperlink>
      <w:hyperlink r:id="rId34">
        <w:r w:rsidDel="00000000" w:rsidR="00000000" w:rsidRPr="00000000">
          <w:rPr>
            <w:rFonts w:ascii="David" w:cs="David" w:eastAsia="David" w:hAnsi="David"/>
            <w:b w:val="1"/>
            <w:color w:val="000000"/>
            <w:sz w:val="20"/>
            <w:szCs w:val="20"/>
            <w:u w:val="single"/>
            <w:rtl w:val="1"/>
          </w:rPr>
          <w:t xml:space="preserve">ה</w:t>
        </w:r>
      </w:hyperlink>
      <w:hyperlink r:id="rId35">
        <w:r w:rsidDel="00000000" w:rsidR="00000000" w:rsidRPr="00000000">
          <w:rPr>
            <w:rFonts w:ascii="David" w:cs="David" w:eastAsia="David" w:hAnsi="David"/>
            <w:b w:val="1"/>
            <w:color w:val="000000"/>
            <w:sz w:val="20"/>
            <w:szCs w:val="20"/>
            <w:u w:val="single"/>
            <w:rtl w:val="1"/>
          </w:rPr>
          <w:t xml:space="preserve">'</w:t>
        </w:r>
      </w:hyperlink>
      <w:hyperlink r:id="rId36">
        <w:r w:rsidDel="00000000" w:rsidR="00000000" w:rsidRPr="00000000">
          <w:rPr>
            <w:rFonts w:ascii="David" w:cs="David" w:eastAsia="David" w:hAnsi="David"/>
            <w:b w:val="1"/>
            <w:color w:val="000000"/>
            <w:sz w:val="20"/>
            <w:szCs w:val="20"/>
            <w:u w:val="single"/>
            <w:rtl w:val="1"/>
          </w:rPr>
          <w:t xml:space="preserve">תשל</w:t>
        </w:r>
      </w:hyperlink>
      <w:hyperlink r:id="rId37">
        <w:r w:rsidDel="00000000" w:rsidR="00000000" w:rsidRPr="00000000">
          <w:rPr>
            <w:rFonts w:ascii="David" w:cs="David" w:eastAsia="David" w:hAnsi="David"/>
            <w:b w:val="1"/>
            <w:color w:val="000000"/>
            <w:sz w:val="20"/>
            <w:szCs w:val="20"/>
            <w:u w:val="single"/>
            <w:rtl w:val="1"/>
          </w:rPr>
          <w:t xml:space="preserve">"</w:t>
        </w:r>
      </w:hyperlink>
      <w:hyperlink r:id="rId38">
        <w:r w:rsidDel="00000000" w:rsidR="00000000" w:rsidRPr="00000000">
          <w:rPr>
            <w:rFonts w:ascii="David" w:cs="David" w:eastAsia="David" w:hAnsi="David"/>
            <w:b w:val="1"/>
            <w:color w:val="000000"/>
            <w:sz w:val="20"/>
            <w:szCs w:val="20"/>
            <w:u w:val="single"/>
            <w:rtl w:val="1"/>
          </w:rPr>
          <w:t xml:space="preserve">א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עמ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' 214-215</w:t>
      </w:r>
    </w:p>
    <w:p w:rsidR="00000000" w:rsidDel="00000000" w:rsidP="00000000" w:rsidRDefault="00000000" w:rsidRPr="00000000" w14:paraId="0000001F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מב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הנסיון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הראשון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בנוגע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לכללות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ענין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הגאולה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–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גלות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גאולה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</w:t>
      </w:r>
    </w:p>
    <w:p w:rsidR="00000000" w:rsidDel="00000000" w:rsidP="00000000" w:rsidRDefault="00000000" w:rsidRPr="00000000" w14:paraId="00000020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לכאורה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החילוק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גלות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לגאולה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ברור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וכפס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הרמב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שהגאולה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תהי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באופן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יעמוד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מבית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הוגה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ועוסק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במצות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..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ויכוף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לילך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ולחזק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בדקה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וילחם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מלחמות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..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והצליח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ובנה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מקדש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במקומו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וקבץ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נדחי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בודאי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'",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והיינו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שרק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ידו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יסתיים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הזמן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עקבתא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דמשיחא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ותהי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אתחלתא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דגאולה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21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–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אמנם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פרטים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בנוגע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לגאולה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שעליהם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כותב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הרמב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בפרק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שלאח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לאחרי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שמקדים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שיש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דברים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שנאמרו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בנוגע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לימות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המשיח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משלים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ידע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אדם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יהיו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שיהיו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'",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ואעפ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כותב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לפנ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ברור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והלכה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פסוקה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בנוגע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לאופן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תהי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הגאולה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22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ולמרות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עכשיו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נסיון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מעולם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לפני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חמישים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ששים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שבעים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–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שיש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כאלו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שמרמים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עצמם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ואומרים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שעכשיו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אוחזים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אתחלתא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דגאולה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בגלל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שלפני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25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נקבעה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הצהרה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בלונדון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23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והגע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עצמך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</w:t>
      </w:r>
    </w:p>
    <w:p w:rsidR="00000000" w:rsidDel="00000000" w:rsidP="00000000" w:rsidRDefault="00000000" w:rsidRPr="00000000" w14:paraId="00000024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בזמנו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יוסף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הנשיא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בימי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הביניים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נתן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ׂ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ולטן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שטח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בארץ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שיהי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תחת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בעלותו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הבלעדית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בעלות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מישהו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אחר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ארבע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המעצמות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הגדולות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("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ביג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").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ואעפ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העלה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דעתו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שזוהי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גאולה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!</w:t>
      </w:r>
    </w:p>
    <w:p w:rsidR="00000000" w:rsidDel="00000000" w:rsidP="00000000" w:rsidRDefault="00000000" w:rsidRPr="00000000" w14:paraId="00000025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ואפילו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כשצומחים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אילנות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בארץ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–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כדברי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הגמרא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במסכת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סנהדרין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מגולה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כשתתן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ארץ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בעין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יפה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יקרב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הקץ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ואתם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ענפכם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תתנו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ופריכם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תשאו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לעמי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וגו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'" –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עדיין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הגאולה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!</w:t>
      </w:r>
    </w:p>
    <w:p w:rsidR="00000000" w:rsidDel="00000000" w:rsidP="00000000" w:rsidRDefault="00000000" w:rsidRPr="00000000" w14:paraId="00000026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וכמובן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שהרמב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מביא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ענינים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מסוגיא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במסכת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סנהדרין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שבודאי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ידע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דברי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הגמרא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ואעפ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פוסק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ברור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שמשיח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יבנה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ביהמ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ויקבץ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נדחי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שקיבוץ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גלויות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יכול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להיות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צדקנו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–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יכול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אמנם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להיות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קיבוץ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מבנ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בארץ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אבל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עדיין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קיבוץ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גלויות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אתחלתא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דגאולה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!</w:t>
      </w:r>
    </w:p>
    <w:p w:rsidR="00000000" w:rsidDel="00000000" w:rsidP="00000000" w:rsidRDefault="00000000" w:rsidRPr="00000000" w14:paraId="00000027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שיחות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הרצי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ארץ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/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גאולה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/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מדינת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/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מזמור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יט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29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2A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8.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אמונה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באתחלתא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דגאולה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</w:p>
    <w:p w:rsidR="00000000" w:rsidDel="00000000" w:rsidP="00000000" w:rsidRDefault="00000000" w:rsidRPr="00000000" w14:paraId="0000002B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הזכרנו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קודם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שלצערנו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ולחרפתנו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חלק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מהציבור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מוכן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להאמין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ולשמוח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כדאי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פעם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אחת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ולתמיד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לעשות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וחשבון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להיות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פוסחים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הסעיפים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לגבי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אותה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כפירה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המתלבשת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בלבוש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חרדות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וצידקות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הכופרים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קוראים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לאחרים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כופרים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והפוסל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–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במומו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פוסל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כופרים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בדברי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בקול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בכוח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ובהדר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במעשי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הנמשכים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מדבר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אשר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שבכתב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ובתורה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-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מודיעים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הקץ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המגולה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ואתם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ענפכם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תתנו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ופריכם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תשאו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לעמי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 – 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כשתתן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ארץ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פריה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בעין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יפה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מחוצפים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מעיזים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נגד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גדולי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ראשונים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וגאוני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קדושי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התביישו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ואמרו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אתחלתא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דגאולה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האתחלתא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הזאת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החלה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לפני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מאה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אתחלתא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בלי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סוף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?!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אליהו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גוטמאכר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רמאי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יהושע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מקוטנא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רמאי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וגם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טיפש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כפי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טיפש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החושב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שזוהי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אתחלתא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דגאולה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גאונים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קדושים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הודיעו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בפה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שהמהלך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אתחלתא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דגאולה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הכופרים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בדבר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המפורש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בפסוקי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הנביאים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–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אמונה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כפירה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?!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בלבוש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צידקות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מרושעת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כפירה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מחריבה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ומהרסת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היהדות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מעכבת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מלבוא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לעולם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מכניסה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איחורים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בדבר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ריבונו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-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-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עולם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דברים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ידועים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נקרא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אלהים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אחרים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מפני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שמאחרים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הטובה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מלבוא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לעולם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אבל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עצת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לעולם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תעמוד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מחשבות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לבו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לדור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ודור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שנחשבים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כגאונים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כצדיקים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יצליחו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לקלקל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הגויים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שבעולם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אנשי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הגויים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שמסביבנו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יצליחו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לקלקל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ניסיונותיהם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דברים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בטלים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ידוע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למי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שיש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אמונה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היותר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יצליחו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לעכב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כנגד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ראוי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שנתאמץ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כדי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יאחרו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הטובה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</w:p>
    <w:p w:rsidR="00000000" w:rsidDel="00000000" w:rsidP="00000000" w:rsidRDefault="00000000" w:rsidRPr="00000000" w14:paraId="0000002C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פעם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אחת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ולתמיד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חייבים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לברר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בתוכנו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הדברים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בצורה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ברורה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להיות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פוסחים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הסעיפים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אנחנו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מאמינים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איננו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מאמינים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?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מאמינים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כופרים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?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צריך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לראות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הדברים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בצורה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ברורה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אמונה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במעשי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ספקות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קיימים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מיני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אפיקורסים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האפיקורסים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הפשוטים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הרגילים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הוודאיים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ואפיקורסים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בספקות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בתוכנו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ביראת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השמים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חששות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וספקות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אמונה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ספקות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! 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הוודאי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שמו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תהילתו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יצרתי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תהלתי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יספרו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פעם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אחת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ולתמיד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דברים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חייבים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פשטותם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מקום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תתורו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אחרי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לבבכם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בספקות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לגבי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מעשה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המוזכר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בפסוקי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שבכתב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-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</w:p>
    <w:p w:rsidR="00000000" w:rsidDel="00000000" w:rsidP="00000000" w:rsidRDefault="00000000" w:rsidRPr="00000000" w14:paraId="0000002D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0"/>
        </w:rPr>
        <w:t xml:space="preserve">...</w:t>
      </w:r>
    </w:p>
    <w:p w:rsidR="00000000" w:rsidDel="00000000" w:rsidP="00000000" w:rsidRDefault="00000000" w:rsidRPr="00000000" w14:paraId="0000002E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13.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הקץ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המגולה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</w:p>
    <w:p w:rsidR="00000000" w:rsidDel="00000000" w:rsidP="00000000" w:rsidRDefault="00000000" w:rsidRPr="00000000" w14:paraId="0000002F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מקום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להעיר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דבריו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ידידנו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עמיתנו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הגאון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….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בתוך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דבריו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גאולה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אתחלתא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דגאולה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והעלה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ספקות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הזכיר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ביטוי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מיוחד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נסתר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נסתרות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כבשי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דרחמנא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נסתר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? -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נגלה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!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כאן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שום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נסתר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ושום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דברים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נסתר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גמרא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מפורשת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במסכת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סנהדרין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שאין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חולק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אבא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מגולה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'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ואתם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ענפכם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תתנו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ופריכם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תשאו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לעמי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קרבו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לבוא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'".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בפסוק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מופיעים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דברים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יחד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ישוב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ארץ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-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וקיבוץ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גלויות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כאן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נסתר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זוהר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קבלה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דברים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ניגלים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וברורים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שימחק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הגמרא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הזאת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יצטרך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להוציא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חדש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</w:p>
    <w:p w:rsidR="00000000" w:rsidDel="00000000" w:rsidP="00000000" w:rsidRDefault="00000000" w:rsidRPr="00000000" w14:paraId="00000030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1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אגב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ראיתי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בעניין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הערה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בשם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זונדל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סלנטר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תמיד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חשבתי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ברוך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השם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יוצא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לפעמים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שמכוונים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לדעת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גדולים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מזכירים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הישיבות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אנשי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המוסר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מייסוד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סלנטר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תלמיד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זונדל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סלנטר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הערה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נמצאת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בספר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נתן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פרידלנדר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מהראשונים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יחד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הירש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קאלישר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ורבי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אליהו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גוטמאכר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–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במדרגה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שניהם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גדולים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וגאונים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אבל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גדול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וצדיק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וכולו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להבת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לעניין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סדר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גאולת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ובניין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ארץ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-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תלמיד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זונדל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סלנטר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-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-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פנים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מקורב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מזכיר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מורי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ורבי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זונדל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מסלנט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</w:p>
    <w:p w:rsidR="00000000" w:rsidDel="00000000" w:rsidP="00000000" w:rsidRDefault="00000000" w:rsidRPr="00000000" w14:paraId="00000032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3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בסנהדרין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בירור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ידוע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אליעזר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ורבי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יהושע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והמסקנה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כרבי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יהושע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שאין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תשובה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מעכבת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הגאולה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ושתק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אליעזר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ההחלטה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שתיק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אליעזר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בירושלמי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מופיע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הלשון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ואסתליק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אליעזר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בירור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הדברים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ששתיקה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כהודאה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כפי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שכתבתי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בכמה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מקומות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ההחלטה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שלגאולה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צורך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בתשובה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מובא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בתוך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המשך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הדברים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שובה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גאלתיך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גאלתיך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שובה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</w:p>
    <w:p w:rsidR="00000000" w:rsidDel="00000000" w:rsidP="00000000" w:rsidRDefault="00000000" w:rsidRPr="00000000" w14:paraId="00000034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5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בהמשך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הדברים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מופיע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היסודי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הקובע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אבא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מגולה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'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ואתם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ענפכם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תתנו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ופריכם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תשאו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לעמי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קרבו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לבוא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'".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?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פירוש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"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אבא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"?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מופיעה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כאשר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המשך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לאותו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עניין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לאותו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אליעזר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ורבי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יהושע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מדורות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הראשונים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התנאים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יחד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גמליאל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ורבי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עקיבא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לעומת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אבא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אמורא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אמנם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מאחרוני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האמוראים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הראשונים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יוחנן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ושמואל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תחילת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האמוראים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המעבר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התנאים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לאמוראים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אחר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-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אבא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-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מרחק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עצום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דורות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ושנים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אליעזר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ורבי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יהושע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לבין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אבא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מאי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אבא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"?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מוכרחים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שהקשר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מצד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העניין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אחרי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ההחלטה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והבירור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שאמיתיות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ישוב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ארץ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-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מעוכבת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-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ידי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תשובה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וגמורה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אבא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לברר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מתגלה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הקץ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כשתתן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ארץ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פריה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בעין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יפה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וברוך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השם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ליום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יביע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ידוע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שיבול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הבננות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יפה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מאוד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יבול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הפירות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יפה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מאוד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כאשר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ארץ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-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נותנת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פירותיה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בעין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יפה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–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מתקרב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הקץ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כדברי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הקשר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המאמרים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ענייני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</w:p>
    <w:p w:rsidR="00000000" w:rsidDel="00000000" w:rsidP="00000000" w:rsidRDefault="00000000" w:rsidRPr="00000000" w14:paraId="00000036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7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מביא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נתן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פרידלנדר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בשם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זונדל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להתייחס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ליישוב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הארץ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כאן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כבשי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דרחמנא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ודברים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נסתרים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דברים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גלויים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מפסוקים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ודברי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ומגדולי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רבותינו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בדורות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אחרונים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דברים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חזקים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וברורים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כאן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דברים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מסופקים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נסתר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בירורים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פשוטים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ואמונה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פשוטה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</w:p>
    <w:p w:rsidR="00000000" w:rsidDel="00000000" w:rsidP="00000000" w:rsidRDefault="00000000" w:rsidRPr="00000000" w14:paraId="00000038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שו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מאמר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מרדכי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כרך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קדושת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ארץ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סימן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ד</w:t>
      </w:r>
    </w:p>
    <w:p w:rsidR="00000000" w:rsidDel="00000000" w:rsidP="00000000" w:rsidRDefault="00000000" w:rsidRPr="00000000" w14:paraId="0000003A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בניית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המקדש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השלישי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</w:p>
    <w:p w:rsidR="00000000" w:rsidDel="00000000" w:rsidP="00000000" w:rsidRDefault="00000000" w:rsidRPr="00000000" w14:paraId="0000003B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...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נכון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ויציב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שאמרתי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המקדש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השלישי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ירד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בנוי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ומשוכלל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משמים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כדברי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(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דף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),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וז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: "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בנין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העתיד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לבא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בידי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שמים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",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וכן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כתב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בסוכה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דף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אי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נמי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),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וז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: "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מקדש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העתיד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שאנו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מצפין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בנוי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ומשוכלל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יגלה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ויבא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משמים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שנאמר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: '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מקדש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כוננו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ידיך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'",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עכ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לתוס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(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שם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אי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נמי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וכן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בשבועות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דף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ט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אין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בנין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בית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המקדש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בלילה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וכו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').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0"/>
        </w:rPr>
        <w:t xml:space="preserve">...</w:t>
      </w:r>
    </w:p>
    <w:p w:rsidR="00000000" w:rsidDel="00000000" w:rsidP="00000000" w:rsidRDefault="00000000" w:rsidRPr="00000000" w14:paraId="0000003C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נכון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שלפי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פשט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דברי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הרמב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מהלכות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מלכים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משמע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שמלך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המשיח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יבנה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המקדש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השלישי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ולאורו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מנחת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החינוך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מפרשים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אחרים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שהזכרת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ייתכן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נדקדק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בדברי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הרמב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השאיר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עניין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סדרי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המשיח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הוויות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הדברים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ודקדוקם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שיבוא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המשיח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ונראה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כיצד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יסודרו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הדברים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תירץ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הרדב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קושיית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הראב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הרמב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שכתב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'): 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יעלה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הדעת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שבימות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המשיח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יבטל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ממנהגו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עולם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והקשה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הראב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והשבתי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רעה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הארץ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ותירץ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הרדב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וגם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שהכתובים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שכתב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בימי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המשיח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יודע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רומזים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".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ואפשר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לכלול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בדברים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אלו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תפקידי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המשיח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הכוללים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בניין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בית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המקדש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כולל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'".</w:t>
      </w:r>
    </w:p>
    <w:p w:rsidR="00000000" w:rsidDel="00000000" w:rsidP="00000000" w:rsidRDefault="00000000" w:rsidRPr="00000000" w14:paraId="0000003D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רמב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הלכות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מלכים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פרק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א</w:t>
      </w:r>
    </w:p>
    <w:p w:rsidR="00000000" w:rsidDel="00000000" w:rsidP="00000000" w:rsidRDefault="00000000" w:rsidRPr="00000000" w14:paraId="0000003F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הלכה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מצות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נצטוו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בשעת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כניסתן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לארץ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למנות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שום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תשים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עליך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ולהכרית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זרעו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עמלק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תמחה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זכר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עמלק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ולבנות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הבחירה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לשכנו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תדרשו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ובאת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</w:p>
    <w:p w:rsidR="00000000" w:rsidDel="00000000" w:rsidP="00000000" w:rsidRDefault="00000000" w:rsidRPr="00000000" w14:paraId="00000040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הלכה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ב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מינוי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קודם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למלחמת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עמלק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אותי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למשחך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למלך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עתה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והכיתה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עמלק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והכרתת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זרע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עמלק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קודמת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לבנין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הבית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ויהי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בביתו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הניח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מסביב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אויביו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נתן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הנביא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אנכי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יושב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בבית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ארזים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וגו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מאחר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שהקמת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מצוה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רצה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הקדוש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ברוך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כששאלו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משמואל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לפי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ששאלו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בתרעומת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שאלו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לקיים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המצוה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מפני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שקצו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בשמואל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הנביא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אותך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מאסו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אותי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מאסו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וגו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'.</w:t>
      </w:r>
    </w:p>
    <w:p w:rsidR="00000000" w:rsidDel="00000000" w:rsidP="00000000" w:rsidRDefault="00000000" w:rsidRPr="00000000" w14:paraId="00000041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כסף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משנה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הלכות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מלכים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פרק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יא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הלכה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א</w:t>
      </w:r>
    </w:p>
    <w:p w:rsidR="00000000" w:rsidDel="00000000" w:rsidP="00000000" w:rsidRDefault="00000000" w:rsidRPr="00000000" w14:paraId="00000043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[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]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'.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הפרק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הזה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ושאחריו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אמונות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טובות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בביאת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משיחנו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ואין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לפרש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בהם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דבר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שכתב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יעלה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בדעתך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שנהרג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בעונות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וכתב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הראב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כוזיבא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ודברי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הראב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איתא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בפרק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חלק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אבל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באיכה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רבתי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בפסוק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בלע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חמל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שנהרג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ידי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וסובר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דהא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דאמרו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פרק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חלק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כשמואל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העוה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לימות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המשיח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שעבוד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מלכיות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ורבינו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סובר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כשמואל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וכמבואר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בפרק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שאחר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ולכן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כתב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סברת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המדרש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שכתב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נושא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היכא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מייתי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</w:t>
      </w:r>
    </w:p>
    <w:p w:rsidR="00000000" w:rsidDel="00000000" w:rsidP="00000000" w:rsidRDefault="00000000" w:rsidRPr="00000000" w14:paraId="00000044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באהבה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ובאמונה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/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גאולה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/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קח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קיבוץ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גלויות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ומשיח</w:t>
      </w:r>
    </w:p>
    <w:p w:rsidR="00000000" w:rsidDel="00000000" w:rsidP="00000000" w:rsidRDefault="00000000" w:rsidRPr="00000000" w14:paraId="00000045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קיבוץ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גלויות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ומשיח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</w:p>
    <w:p w:rsidR="00000000" w:rsidDel="00000000" w:rsidP="00000000" w:rsidRDefault="00000000" w:rsidRPr="00000000" w14:paraId="00000047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שאלה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הרמב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כתב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שהמשיח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יקבץ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נדחי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הלכות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מלכים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קיבוץ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הגלויות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שאנו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חיים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עכשיו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נחשב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קיבוץ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גלויות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חלק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הגאולה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? </w:t>
      </w:r>
    </w:p>
    <w:p w:rsidR="00000000" w:rsidDel="00000000" w:rsidP="00000000" w:rsidRDefault="00000000" w:rsidRPr="00000000" w14:paraId="00000048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תשובה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באופן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כללי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הרמב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התיחס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לגאולה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למשיח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וזו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דרכו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לקצר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שכרוך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בתהליך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הגאולה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כפי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מסביר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בעצמו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הדברים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יידע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אדם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יהיו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שיהיו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אינם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מוסיפים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יראה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אהבה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לכן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להאמין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בכלל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בדבר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פרק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לכן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נכנס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בפרטי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וסדרי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הדברים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</w:p>
    <w:p w:rsidR="00000000" w:rsidDel="00000000" w:rsidP="00000000" w:rsidRDefault="00000000" w:rsidRPr="00000000" w14:paraId="00000049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A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הרמב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מלמדנו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שהמשיח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יסיים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קיבוץ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גלויותינו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שקיבוץ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הגלויות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שעליו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ניבאו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הנביאים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להתחיל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לפני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המשיח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בתור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הכנה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למשיח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כדי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שתהיה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חזקת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צריך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שיהיה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צבא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ובשביל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צורך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שיהודים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ישובו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לארץ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כדי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שיהיה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למלך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למלוך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וכדי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שיהיה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צבא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לפקד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כפי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שהרמב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מתאר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הופעת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המשיח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באופן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טבעי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</w:p>
    <w:p w:rsidR="00000000" w:rsidDel="00000000" w:rsidP="00000000" w:rsidRDefault="00000000" w:rsidRPr="00000000" w14:paraId="0000004B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C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לכן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הפירוש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הנכון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שהמשיח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יקבץ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נדחי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התקבצו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לפני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ישלים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מלאכת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בניין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המלוכה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הדין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ביחס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לשאר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תפקידיו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שמנה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הרמב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כגון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החזרת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המשפטים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קיום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שמיטין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ויובלות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מצוותן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שבוודאי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חובה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לחכות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לביאת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המשיח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כדי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להחל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ממצוות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</w:p>
    <w:p w:rsidR="00000000" w:rsidDel="00000000" w:rsidP="00000000" w:rsidRDefault="00000000" w:rsidRPr="00000000" w14:paraId="0000004D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E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תיארו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נביאינו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שקיבוץ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גלויות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יכול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להיות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הדרגתי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מעיר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ושניים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ממשפחה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בדומה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כותב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הגאון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הירש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קאלישר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נמנו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וגמרו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שתחילה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ירושלים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ואחר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קיבוץ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גלויות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כדכתיב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'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בונה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ירושלים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נדחי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יכנס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להבין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דרכנו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ירושלים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קודם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הקיבוץ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?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אטו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לערלים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וזרים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ייבנה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המקדש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?!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שיהיה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תחילה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קיבוץ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מעט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מעיר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ושניים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ממשפחה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והקיבוץ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מעט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ידי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מערכת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ישיבה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בארץ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לחונן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עפרה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דרישת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ציון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כותב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הרמב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הפסוק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נאם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אלוהים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מקבץ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נדחי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אקבץ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לנקבציו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ישעיה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מתחילה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יקבץ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מנדחי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כולם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ואחרי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מלחמת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גוג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'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אקבץ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לנקבציו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שעוד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יקבץ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הנקבצים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מכבר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שלמות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הגאולה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</w:p>
    <w:p w:rsidR="00000000" w:rsidDel="00000000" w:rsidP="00000000" w:rsidRDefault="00000000" w:rsidRPr="00000000" w14:paraId="0000004F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0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הרמב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מגדיר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שמתנאי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חזקת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שיעשה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מלחמות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הגמרא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אומרת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שמלחמות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אתחלתא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דגאולה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ואפילו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לפני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המשיח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בשביעית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מלחמות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ובמוצאי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שביעית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מגילה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). </w:t>
      </w:r>
    </w:p>
    <w:p w:rsidR="00000000" w:rsidDel="00000000" w:rsidP="00000000" w:rsidRDefault="00000000" w:rsidRPr="00000000" w14:paraId="00000051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2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בסוף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הלכות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מלכים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הרמב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מתאר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תהליך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הגאולה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כיוון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שאין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נפקא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מינה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להלכה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והדברים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נדע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יהיו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שיהיו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מוסר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כללים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לאמת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המשיח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ורק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בקווים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כלליים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מאוד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מוסר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יקרה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בלי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להכריע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בפרטים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כותב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הרמב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שהמשיח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יבנה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המקדש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בתחילת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הלכות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מלכים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פוסק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שדי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במלך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צריך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דווקא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שאם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יבנה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המשיח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ודאי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יבנה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</w:p>
    <w:p w:rsidR="00000000" w:rsidDel="00000000" w:rsidP="00000000" w:rsidRDefault="00000000" w:rsidRPr="00000000" w14:paraId="00000053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4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אדרבה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יהודה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מביא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הוכחה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שקיבוץ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גלויות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העכשווי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ימות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המשיח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מדברי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הרמב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שהמקור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לביאת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המשיח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ושב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וקבצך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דברים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מדברי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משיחא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אשרקה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ואקבצם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חולין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סג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שזיהו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קיבוץ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גלויות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</w:p>
    <w:p w:rsidR="00000000" w:rsidDel="00000000" w:rsidP="00000000" w:rsidRDefault="00000000" w:rsidRPr="00000000" w14:paraId="00000055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רמב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הלכות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מגילה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וחנוכה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פרק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הלכה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א</w:t>
      </w:r>
    </w:p>
    <w:p w:rsidR="00000000" w:rsidDel="00000000" w:rsidP="00000000" w:rsidRDefault="00000000" w:rsidRPr="00000000" w14:paraId="00000057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בבית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כשמלכו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גזרו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גזרות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ובטלו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דתם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הניחו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אותם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לעסוק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ובמצות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ופשטו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ידם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בממונם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ובבנותיהם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ונכנסו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להיכל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ופרצו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פרצות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וטמאו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הטהרות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וצר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מאד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מפניהם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ולחצום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לחץ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גדול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שריחם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עליהם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אלהי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אבותינו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והושיעם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מידם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והצילם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וגברו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חשמונאי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הכהנים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הגדולים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והרגום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והושיעו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מידם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והעמידו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הכהנים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וחזרה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מלכות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לישראל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יתר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מאתים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שנה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עד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החורבן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השני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רמב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משנה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מסכת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סנהדרין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פרק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משנה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ג</w:t>
      </w:r>
    </w:p>
    <w:p w:rsidR="00000000" w:rsidDel="00000000" w:rsidP="00000000" w:rsidRDefault="00000000" w:rsidRPr="00000000" w14:paraId="0000005A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סבור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שאם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הסכמה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התלמידים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והחכמים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למנות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בישיבה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כלומר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שיעשוהו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ראש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ובתנאי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שיהא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בארץ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כמו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שהקדמנו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אותו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האיש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תתקיים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הישיבה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סמוך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ויסמוך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אחר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שירצה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לפי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שאם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תהא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אפשרית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מציאות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הגדול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לעולם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לפי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שצריך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שיהא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סמוך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בלי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ספק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הבטיח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בשיבתם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באמרו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ואשיבה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שופטיך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כבראשונה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ושמא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תאמר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שהמשיח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ימנה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אותם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ואף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פי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שאינם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סמוכין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הרי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מוכחש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לפי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שכבר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ביארנו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בהקדמת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ספרינו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שהמשיח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יוסיף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יגרע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ממנה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שבכתב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ואני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סבור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שהסנהדרין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תשוב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לפני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התגלות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המשיח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וזה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יהיה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מסימניו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ואשיבה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שופטיך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כבראשונה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ויועציך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כבתחלה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ואחרי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כן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יקרא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לך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עיר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הצדק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וזה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יהיה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בלי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ספק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כאשר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יכשיר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לבות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בני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אדם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וירבו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במעשה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הטוב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ותגדל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תשוקתם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ולתורתו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ויתרבה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ישרם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לפני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בוא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המשיח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כמו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שנתבאר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בפסוקי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המקרא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5B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דרשות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חתם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סופר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דרוש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לז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ך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באלול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תק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D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"...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ועיין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רמב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[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]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דסנהדרין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שפירש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שיוכל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להיות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שיתקבצו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יחדיו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ולירושלים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בלי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בנין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המקדש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ומכיון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שישובו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ויתדבקו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תקוה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לאחריתך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דהיינו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שאחריתם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שלום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ביניהם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תקוה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ואחרית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טוב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כמו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שביארנו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למעלה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השלום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שיהיה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ביניהם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ישובו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בנים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לגבולם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ויבנה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המקדש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שנאה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ביניהם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כמו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בחורבן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'"</w:t>
      </w:r>
    </w:p>
    <w:p w:rsidR="00000000" w:rsidDel="00000000" w:rsidP="00000000" w:rsidRDefault="00000000" w:rsidRPr="00000000" w14:paraId="0000005E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sectPr>
      <w:footerReference r:id="rId39" w:type="default"/>
      <w:pgSz w:h="16838" w:w="11906" w:orient="portrait"/>
      <w:pgMar w:bottom="567" w:top="567" w:left="567" w:right="567" w:header="709" w:footer="709"/>
      <w:pgNumType w:start="1"/>
      <w:cols w:equalWidth="0" w:num="2">
        <w:col w:space="708" w:w="5031.999999999999"/>
        <w:col w:space="0" w:w="5031.999999999999"/>
      </w:cols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David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bidi w:val="1"/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chabadlibrary.org/books/11200014669" TargetMode="External"/><Relationship Id="rId22" Type="http://schemas.openxmlformats.org/officeDocument/2006/relationships/hyperlink" Target="https://chabadlibrary.org/books/11200014669" TargetMode="External"/><Relationship Id="rId21" Type="http://schemas.openxmlformats.org/officeDocument/2006/relationships/hyperlink" Target="https://chabadlibrary.org/books/11200014669" TargetMode="External"/><Relationship Id="rId24" Type="http://schemas.openxmlformats.org/officeDocument/2006/relationships/hyperlink" Target="https://chabadlibrary.org/books/11200014669" TargetMode="External"/><Relationship Id="rId23" Type="http://schemas.openxmlformats.org/officeDocument/2006/relationships/hyperlink" Target="https://chabadlibrary.org/books/11200014669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habadlibrary.org/books/11200014641" TargetMode="External"/><Relationship Id="rId26" Type="http://schemas.openxmlformats.org/officeDocument/2006/relationships/hyperlink" Target="https://chabadlibrary.org/books/11200014669" TargetMode="External"/><Relationship Id="rId25" Type="http://schemas.openxmlformats.org/officeDocument/2006/relationships/hyperlink" Target="https://chabadlibrary.org/books/11200014669" TargetMode="External"/><Relationship Id="rId28" Type="http://schemas.openxmlformats.org/officeDocument/2006/relationships/hyperlink" Target="https://chabadlibrary.org/books/11200014669" TargetMode="External"/><Relationship Id="rId27" Type="http://schemas.openxmlformats.org/officeDocument/2006/relationships/hyperlink" Target="https://chabadlibrary.org/books/11200014669" TargetMode="External"/><Relationship Id="rId5" Type="http://schemas.openxmlformats.org/officeDocument/2006/relationships/styles" Target="styles.xml"/><Relationship Id="rId6" Type="http://schemas.openxmlformats.org/officeDocument/2006/relationships/hyperlink" Target="https://chabadlibrary.org/books/1400000000" TargetMode="External"/><Relationship Id="rId29" Type="http://schemas.openxmlformats.org/officeDocument/2006/relationships/hyperlink" Target="https://chabadlibrary.org/books/11200014669" TargetMode="External"/><Relationship Id="rId7" Type="http://schemas.openxmlformats.org/officeDocument/2006/relationships/hyperlink" Target="https://chabadlibrary.org/books/1400000000" TargetMode="External"/><Relationship Id="rId8" Type="http://schemas.openxmlformats.org/officeDocument/2006/relationships/hyperlink" Target="https://chabadlibrary.org/books/1400000000" TargetMode="External"/><Relationship Id="rId31" Type="http://schemas.openxmlformats.org/officeDocument/2006/relationships/hyperlink" Target="https://chabadlibrary.org/books/11200014669" TargetMode="External"/><Relationship Id="rId30" Type="http://schemas.openxmlformats.org/officeDocument/2006/relationships/hyperlink" Target="https://chabadlibrary.org/books/11200014669" TargetMode="External"/><Relationship Id="rId11" Type="http://schemas.openxmlformats.org/officeDocument/2006/relationships/hyperlink" Target="https://chabadlibrary.org/books/11200014641" TargetMode="External"/><Relationship Id="rId33" Type="http://schemas.openxmlformats.org/officeDocument/2006/relationships/hyperlink" Target="https://chabadlibrary.org/books/11200014669" TargetMode="External"/><Relationship Id="rId10" Type="http://schemas.openxmlformats.org/officeDocument/2006/relationships/hyperlink" Target="https://chabadlibrary.org/books/11200014641" TargetMode="External"/><Relationship Id="rId32" Type="http://schemas.openxmlformats.org/officeDocument/2006/relationships/hyperlink" Target="https://chabadlibrary.org/books/11200014669" TargetMode="External"/><Relationship Id="rId13" Type="http://schemas.openxmlformats.org/officeDocument/2006/relationships/hyperlink" Target="https://chabadlibrary.org/books/11200014641" TargetMode="External"/><Relationship Id="rId35" Type="http://schemas.openxmlformats.org/officeDocument/2006/relationships/hyperlink" Target="https://chabadlibrary.org/books/11200014669" TargetMode="External"/><Relationship Id="rId12" Type="http://schemas.openxmlformats.org/officeDocument/2006/relationships/hyperlink" Target="https://chabadlibrary.org/books/11200014641" TargetMode="External"/><Relationship Id="rId34" Type="http://schemas.openxmlformats.org/officeDocument/2006/relationships/hyperlink" Target="https://chabadlibrary.org/books/11200014669" TargetMode="External"/><Relationship Id="rId15" Type="http://schemas.openxmlformats.org/officeDocument/2006/relationships/hyperlink" Target="https://chabadlibrary.org/books/11200014641" TargetMode="External"/><Relationship Id="rId37" Type="http://schemas.openxmlformats.org/officeDocument/2006/relationships/hyperlink" Target="https://chabadlibrary.org/books/11200014669" TargetMode="External"/><Relationship Id="rId14" Type="http://schemas.openxmlformats.org/officeDocument/2006/relationships/hyperlink" Target="https://chabadlibrary.org/books/11200014641" TargetMode="External"/><Relationship Id="rId36" Type="http://schemas.openxmlformats.org/officeDocument/2006/relationships/hyperlink" Target="https://chabadlibrary.org/books/11200014669" TargetMode="External"/><Relationship Id="rId17" Type="http://schemas.openxmlformats.org/officeDocument/2006/relationships/hyperlink" Target="https://chabadlibrary.org/books/11200014641" TargetMode="External"/><Relationship Id="rId39" Type="http://schemas.openxmlformats.org/officeDocument/2006/relationships/footer" Target="footer1.xml"/><Relationship Id="rId16" Type="http://schemas.openxmlformats.org/officeDocument/2006/relationships/hyperlink" Target="https://chabadlibrary.org/books/11200014641" TargetMode="External"/><Relationship Id="rId38" Type="http://schemas.openxmlformats.org/officeDocument/2006/relationships/hyperlink" Target="https://chabadlibrary.org/books/11200014669" TargetMode="External"/><Relationship Id="rId19" Type="http://schemas.openxmlformats.org/officeDocument/2006/relationships/hyperlink" Target="https://chabadlibrary.org/books/11200014641" TargetMode="External"/><Relationship Id="rId18" Type="http://schemas.openxmlformats.org/officeDocument/2006/relationships/hyperlink" Target="https://chabadlibrary.org/books/112000146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