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ובנין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?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יתכן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שבנין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יקדם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לביאת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ובנין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לפעולות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הקשורות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?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זכריה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יב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ָּ֤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18"/>
          <w:szCs w:val="1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תרגום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יונתן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נביאים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זכריה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יב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:</w:t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18"/>
          <w:szCs w:val="1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זכריה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יב</w:t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צמח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שמו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זרובבל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האמור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למעלה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הנני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מביא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עבדי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צמח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שצמחה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גדולתו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מעט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מעט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ויש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פותרים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במלך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הענין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מדבר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:</w:t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זבחים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הלכתא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למשיחא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שחיטת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קאמינא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קאמינא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זבחים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הלכתא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למשיחא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הצריכה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ועכשיו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הוצרכנו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?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שעתידין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ליגאל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קבעוה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במוצאי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שביעית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....</w:t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גליות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ענפכם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ופריכם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...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וכיון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שנבנית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ובקשו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18"/>
          <w:szCs w:val="1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אתחלתא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גב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דהאי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לאו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דגלות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שיגאלנו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הצרות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הבאות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תמיד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דהא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ברכת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ובנין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וצמח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ואחת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ברכה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לעצמה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לבד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מגאולה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זו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דשם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קבעוה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בשביעית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.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...</w:t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ופריכם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תשאו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לעמי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קרבו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לבא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אלמא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גליות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בעת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ברכת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השנים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18"/>
          <w:szCs w:val="18"/>
          <w:u w:val="single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ישובו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ישובו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ובקשו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rtl w:val="1"/>
        </w:rPr>
        <w:t xml:space="preserve">מלכם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18"/>
          <w:szCs w:val="18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מהרש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חידושי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אגדות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יח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18"/>
          <w:szCs w:val="18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sz w:val="18"/>
          <w:szCs w:val="18"/>
        </w:rPr>
      </w:pP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וכיון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שבא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והביאותים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קדשי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u w:val="single"/>
          <w:rtl w:val="1"/>
        </w:rPr>
        <w:t xml:space="preserve">וגו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משמע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מהכא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שבא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כדאמרינן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נצטוו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בכניסתן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להעמיד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ולהכרית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זרעו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ולבנות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ומסיק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להעמיד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מקודם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לעתיד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ודאי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וכיון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והביאותים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קדשי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דהיינו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דבא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מקודם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שבאת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תפלה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באת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דהתפלה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עבודה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שבלב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הקדים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לעבודת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המזבח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בבנינו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בהמ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שמתחלה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התפלל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צרה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תבא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כתיב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ויזבח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זבח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בקר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אלף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sz w:val="18"/>
          <w:szCs w:val="18"/>
          <w:rtl w:val="1"/>
        </w:rPr>
        <w:t xml:space="preserve">':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שיר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השירים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וילנא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השבעתי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השביע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ימרדו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המלכיות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ידחקו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מסטירין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גליותיהן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מדרש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תנחומא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ורשא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יא</w:t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"...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נחמני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מסורת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אגדה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נבנית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שיתכנסו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הגליות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שכבר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נתקבצו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הגליות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נבנית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תאמין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שכך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כתיב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יכנס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ילקוט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שמעוני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תתפח</w:t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+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קמז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+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הללויה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פתח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אימתי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שמואל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נחמני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מסורת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אגדה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נבנית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שיתכנסו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הגליות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שנבנית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נתכנסו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הגליות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תאמין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יכנס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מדרש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שוחר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בובר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מזמור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כא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למנצח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בעזך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ישמח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ידרושו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הנחבא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תנחומא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לאומות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סוכה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ולולב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ותפילין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למידין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למודי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בשביל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גוים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ידרושו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מנוחתו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מכבודו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בעזך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ישמח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פסיקתא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רבתי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שלום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פיסקא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קומי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אורי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רבותינו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נגלה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ועומד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הגג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[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משמיע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ענוים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הגיע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גאולתכם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מאמינים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וכבוד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זוהר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חיי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קלד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"...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דקודשא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בריך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יבני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מקדשא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בקדמיתא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ויתקין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היכלא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ויבני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קרתא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דירושלם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ולבתר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יוקים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מעפרא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בקדמיתא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ולבתר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יכנס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ויימא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ישעיה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התנערי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ויתכניש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גלותהון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הדא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בקדמיתא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ולבתר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יכנס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וכדין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הרופא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לשבורי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ומחבש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לעצבותם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תחיית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המתים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יחזקאל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בקרבכם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ועשיתי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זוהר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מדרש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הנעלם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בראשית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תולדות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קלט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ותחיית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דתנן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לקבוץ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גליות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קבוץ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גליות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לתחיית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ותחיית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אחרון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שבכלם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מנ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תהלים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קמז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קלד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יכנס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הרופא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לשבורי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ומחבש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לעצבותם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תחיית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הרפואה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לשבורי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מתיהם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תחלה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ואחריו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יכנס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והרופא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לשבורי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אחרון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מעשר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לירושלם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ועקרבת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הצפון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והירדן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המזרח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התקינו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שאימתי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שירצו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משחרב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אימתי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עובדיה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מברטנורא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מעשר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4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כרם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רבעי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ולאכלן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פדיונם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ותקנו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סביבות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נטע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שיהא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נפדה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סמוך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לחומה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הסמוך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שאימתי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שירצו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יתמעטו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משחרב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התנאי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כדאמרת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משחרב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האויבים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חוששין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בפירות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4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ירושלמי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וילנא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מעשר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</w:p>
    <w:p w:rsidR="00000000" w:rsidDel="00000000" w:rsidP="00000000" w:rsidRDefault="00000000" w:rsidRPr="00000000" w14:paraId="0000004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עתיד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להיבנות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רידב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מעשר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</w:p>
    <w:p w:rsidR="00000000" w:rsidDel="00000000" w:rsidP="00000000" w:rsidRDefault="00000000" w:rsidRPr="00000000" w14:paraId="0000004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תלמידי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הגר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כתבו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דהתנאי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שכשיבנה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בהמ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תחזור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למקומה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התקנה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כתיב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ענב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תשתה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ענבים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מרובות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התקנה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לעטר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שוקי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בפירות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דבהמ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ויהיו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ענבים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מעוטים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4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תוספות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מעשר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4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הוצרך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שהתקנה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הנתונה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האויבים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במהרה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כדאיתא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אמתניתין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לתחיית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4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תולדות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5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במסכת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אימתי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'):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מתורץ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הוצרכו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לתנאי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יעשו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תקנה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רצונם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כשיבנה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דאגו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בחכמה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ובמנין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שיוכלו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לבטל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דבריהם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ומפני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שקשה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הוצרכו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שיבנה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ועדיין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ואפשר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ומעתה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נוכל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שהדברים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וכיוצא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נאמרים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וברוך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היודע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גבורת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תענית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5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אסור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לשתות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אסור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מטעמא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כדמסיק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לקמן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פליגי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דראש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')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בתשרי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עתידין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לגאול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באחד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משאר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החדשים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לכולי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נגאלין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אסירין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לישתרי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חודש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מתשרי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וניסן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בשאר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החדשים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יבנה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אסרו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ברישא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משמרתו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משמרתו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לישתרי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וליכא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למיחש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לתקלה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מיהו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בהא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דבנין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דהיינו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הגואל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וכדאמרינן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דמעשר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כרם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רבעי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ותנאי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שאימתי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שירצו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יחזור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לכמות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משחרב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התנאי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ותנאי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אימתי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שיבנה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יחזור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לכמות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וגרסינן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בירושלמי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אומרת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עתיד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להבנות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והשתא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קבוע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ימות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ראוי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לבניינו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ובחידושי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קיצין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אחישנה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נחלקו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אליעזר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עתידין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ליגאול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דבעתה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דאחישנה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וכדאמר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בקולו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תשמעו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אסורין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לשתות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אחישנה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מקומו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חכמינו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שבירושלמי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נאמנים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עלינו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צריכים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להאי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טעמא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והרחמן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יזכנו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לבנין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ולימות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מהר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שיק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יורה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דעה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ריג</w:t>
      </w:r>
    </w:p>
    <w:p w:rsidR="00000000" w:rsidDel="00000000" w:rsidP="00000000" w:rsidRDefault="00000000" w:rsidRPr="00000000" w14:paraId="0000005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חיישינן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ובניסן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עתידין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ליגאל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עתידין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ליגאל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ניסן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קיצין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אחישנה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בתשרי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יגאלו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אחישנה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בעירובין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חיישינן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שהאריך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בסוגיא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דעירובין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בקולו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ישמעו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אתמול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אחישנה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אתמול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הטורי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</w:p>
    <w:p w:rsidR="00000000" w:rsidDel="00000000" w:rsidP="00000000" w:rsidRDefault="00000000" w:rsidRPr="00000000" w14:paraId="0000005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דהרי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מלשון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בפי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ובפי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משמע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דמלך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יקבץ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ויגאלם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ביאתו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והגאולה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שיגאלו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בזמן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דיהא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בניסן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בתשרי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נאמרה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ידוע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אדרבה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הקבוע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בעתו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צריכין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לחוש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קבע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לביאתו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5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אגרות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הראיה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כרך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תקנה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ab/>
      </w:r>
    </w:p>
    <w:p w:rsidR="00000000" w:rsidDel="00000000" w:rsidP="00000000" w:rsidRDefault="00000000" w:rsidRPr="00000000" w14:paraId="0000005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שעושה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פעולה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להרחיב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גבול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שיהי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מצדו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גורם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לקרב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גורם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מהירות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בגאולה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קיי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לביאת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המשיח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 . </w:t>
      </w:r>
    </w:p>
    <w:p w:rsidR="00000000" w:rsidDel="00000000" w:rsidP="00000000" w:rsidRDefault="00000000" w:rsidRPr="00000000" w14:paraId="0000005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צד</w:t>
      </w:r>
    </w:p>
    <w:p w:rsidR="00000000" w:rsidDel="00000000" w:rsidP="00000000" w:rsidRDefault="00000000" w:rsidRPr="00000000" w14:paraId="0000005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ותתגלה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הנפלאות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עכוב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5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מילה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וגרות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קנ</w:t>
      </w:r>
    </w:p>
    <w:p w:rsidR="00000000" w:rsidDel="00000000" w:rsidP="00000000" w:rsidRDefault="00000000" w:rsidRPr="00000000" w14:paraId="0000006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</w:p>
    <w:p w:rsidR="00000000" w:rsidDel="00000000" w:rsidP="00000000" w:rsidRDefault="00000000" w:rsidRPr="00000000" w14:paraId="0000006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למקדשך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תוב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ומלכות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תשמ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) / 13.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מקודשת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הארץ</w:t>
      </w:r>
    </w:p>
    <w:p w:rsidR="00000000" w:rsidDel="00000000" w:rsidP="00000000" w:rsidRDefault="00000000" w:rsidRPr="00000000" w14:paraId="0000006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6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נגד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ציטוט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ותתגלה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הנבואה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הנפלאות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קעט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יתייחס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6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6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שהקמת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). </w:t>
      </w:r>
    </w:p>
    <w:p w:rsidR="00000000" w:rsidDel="00000000" w:rsidP="00000000" w:rsidRDefault="00000000" w:rsidRPr="00000000" w14:paraId="0000006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6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נחמן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חסדא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החזקתי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גליותי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6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וביאת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לרב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חיים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שטיינר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 452</w:t>
      </w:r>
    </w:p>
    <w:p w:rsidR="00000000" w:rsidDel="00000000" w:rsidP="00000000" w:rsidRDefault="00000000" w:rsidRPr="00000000" w14:paraId="0000007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סוגיית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הירושלמי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בתענית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סובבת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ומדבריו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שבשלוש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שנצטוו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?.</w:t>
      </w:r>
    </w:p>
    <w:p w:rsidR="00000000" w:rsidDel="00000000" w:rsidP="00000000" w:rsidRDefault="00000000" w:rsidRPr="00000000" w14:paraId="0000007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הכרעתו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כירושלמי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מוטלת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הוזכר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אדרבא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</w:t>
      </w:r>
    </w:p>
    <w:p w:rsidR="00000000" w:rsidDel="00000000" w:rsidP="00000000" w:rsidRDefault="00000000" w:rsidRPr="00000000" w14:paraId="0000007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7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שקדימת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מינויו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מינויו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הגמרא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בסנהדרין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;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מלחמה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בהקשר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משבט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שנצטוו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להכרית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מחיית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מוסבים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משבטים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7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משאול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הספרי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מיהושע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מוסיפין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העזרות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...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–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והעמיד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הכהנים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וחזרה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מאתיים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</w:p>
    <w:p w:rsidR="00000000" w:rsidDel="00000000" w:rsidP="00000000" w:rsidRDefault="00000000" w:rsidRPr="00000000" w14:paraId="0000007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למדנו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פירושה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לשבט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ובהחלט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בחזרתנו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שתכונותיו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ומעשיו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פורטו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האחרונים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7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...</w:t>
      </w:r>
    </w:p>
    <w:p w:rsidR="00000000" w:rsidDel="00000000" w:rsidP="00000000" w:rsidRDefault="00000000" w:rsidRPr="00000000" w14:paraId="0000007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ביהמ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שקדמו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שכאמור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הרמב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בהמשך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ויכוף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ולחזק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וילחם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בחזקת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בלבד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ודאי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הוודאות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רוכש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הצליח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ובנה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במקומו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וקיבץ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כדברינו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קודמיו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שהכוונה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במובן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השלילי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בחזקת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הפיכתו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הצלחתו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במלחמות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קיבוץ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נדחי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</w:t>
      </w:r>
    </w:p>
    <w:p w:rsidR="00000000" w:rsidDel="00000000" w:rsidP="00000000" w:rsidRDefault="00000000" w:rsidRPr="00000000" w14:paraId="0000007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ישעיהו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7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יחו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ֹ֘ 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sz w:val="28"/>
          <w:szCs w:val="28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ּ:</w:t>
      </w:r>
    </w:p>
    <w:p w:rsidR="00000000" w:rsidDel="00000000" w:rsidP="00000000" w:rsidRDefault="00000000" w:rsidRPr="00000000" w14:paraId="0000007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עזרא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7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7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8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קובל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'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החזקתי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כתיבי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דסמיכי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אהדדי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וניקוד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מוכיח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סגול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ננקד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בזרקא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ננקד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במאריך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להפרישו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ולנתקו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נשתדל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8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ליקוטי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8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</w:p>
    <w:p w:rsidR="00000000" w:rsidDel="00000000" w:rsidP="00000000" w:rsidRDefault="00000000" w:rsidRPr="00000000" w14:paraId="0000008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ליקוטי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8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מארצך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וממולדתך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ואעשך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שנצטוו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בכניסתן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להכרית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ולבנות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הבחירה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נקודות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עקר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התשובה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מובא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בדבריו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זרקא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דאזדריקת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לאתר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דאתנטילת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מתמן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שצריכין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לצאת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המקומות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שנתעה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ולשוב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למקור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שנחצב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נשמתו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88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מאמרי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הראיה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חלק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/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ענן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וענן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הגאולה</w:t>
      </w:r>
    </w:p>
    <w:p w:rsidR="00000000" w:rsidDel="00000000" w:rsidP="00000000" w:rsidRDefault="00000000" w:rsidRPr="00000000" w14:paraId="0000008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</w:p>
    <w:p w:rsidR="00000000" w:rsidDel="00000000" w:rsidP="00000000" w:rsidRDefault="00000000" w:rsidRPr="00000000" w14:paraId="0000008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יאמינו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ההארות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רוצים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שיפעלו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פעולתן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להגיה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המגמה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להסיר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המאפל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החוצץ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הנסוך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היסוד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מחשפים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חולפים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מזריח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האפקים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הדרושים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מוארים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נוהג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במפעלים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המוחשי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במפעלים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השכלי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הרוחני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שהופעתו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וגלויו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חשיפת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הסתרת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נמצאות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גורמות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למחשכים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המזהיר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העיקרית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למציאות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החומריים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והרוחניים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מיעוט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ההארה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צמצומו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וזעירותו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המביאה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להארה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פעולת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ההחשפה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ההתגלות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ושפעת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נהורא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עימיה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המחשכים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האנושיים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לבחינה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המוגבל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והרופף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להסתכל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בזוהר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הנורא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האלקית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האנושיות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המטומטמת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בורחת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כעטלף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הבורח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והסבה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המביאה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להאיר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ושרשה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הפעולה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העטפתה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וצמצומה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וסתרה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גילויה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8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הנאמרת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בהשגה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בהכרה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וידיעה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נאמרת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בהופעת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ההתודעות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במפעלים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צריך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שהמצב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שיוכלו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מזיו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ההשפעה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8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מההופעות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השמימית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קשורה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צמיחתה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לוטה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מאפלים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להכיר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מתנוצץ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התעלומות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המדרגות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ביסוד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עזרתו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הפרסי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שהחמיץ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התנוצץ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במסתרים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ואקרא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אכנך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אאזרך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ובימינו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בבחינת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תעלומה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ומתנוצץ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ומרוב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הזוהר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המעולף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בעיקרו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בעובי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חושך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הסתרה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ונמשכת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הרועה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הנאמן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לדורות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המסתיר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ההתגלות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הקשורים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בקדושת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וקדושתה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וידעו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המסתיר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תופיע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במסתרים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הקרואים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בראשם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ולעשותם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יודעים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לתפקידם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ההשגחיי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העליון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נקראים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בשמם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הנכרי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אכנך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ואאזרך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ידעתני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ההסתרה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הנוראה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ההופעה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נצחית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למען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בדברי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יאמינו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ומאופל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וממסתור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תראינה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יופיע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מקראיה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במהרה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9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רמב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כא</w:t>
      </w:r>
    </w:p>
    <w:p w:rsidR="00000000" w:rsidDel="00000000" w:rsidP="00000000" w:rsidRDefault="00000000" w:rsidRPr="00000000" w14:paraId="0000009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"...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סברא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עונש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בהתאחר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הבחירה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השבטים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מתעוררים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נדרוש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ונבנה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לשכנו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תדרשו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שנתעורר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מסביב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אויביו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הנביא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ארזים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האלהים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היריעה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יתברך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שפכת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ארצה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ונתאחר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ואלו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חפצים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ונתעוררו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מתחלה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מהשופטים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שאול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שבטי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מתעוררים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בדבר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הבונה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הבונים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השגיחו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המשגיח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והמתעורר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ומחזיק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הוכשר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הרחמים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בפשיעת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הקצף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9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קול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התור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עיקרי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האתחלתא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תתחיל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האתחלתא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באתערותא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דלתתא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מסטרא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דשמאלא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לראשי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ברשיון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מלכי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האומות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ואחר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תבוא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מסטרא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דימינא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במדת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החסד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הרחמים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ברחמים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אקבצך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קבוץ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שבאתחלתא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ופדיון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הכתוב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(</w:t>
      </w:r>
      <w:hyperlink r:id="rId6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1"/>
          </w:rPr>
          <w:t xml:space="preserve">ישעיהו</w:t>
        </w:r>
      </w:hyperlink>
      <w:hyperlink r:id="rId7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1"/>
          </w:rPr>
          <w:t xml:space="preserve"> </w:t>
        </w:r>
      </w:hyperlink>
      <w:hyperlink r:id="rId8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1"/>
          </w:rPr>
          <w:t xml:space="preserve">נא</w:t>
        </w:r>
      </w:hyperlink>
      <w:hyperlink r:id="rId9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1"/>
          </w:rPr>
          <w:t xml:space="preserve">, </w:t>
        </w:r>
      </w:hyperlink>
      <w:hyperlink r:id="rId10">
        <w:r w:rsidDel="00000000" w:rsidR="00000000" w:rsidRPr="00000000">
          <w:rPr>
            <w:rFonts w:ascii="David" w:cs="David" w:eastAsia="David" w:hAnsi="David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1"/>
          </w:rPr>
          <w:t xml:space="preserve">יא</w:t>
        </w:r>
      </w:hyperlink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ופדויי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׳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ישובון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ברנה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כולו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פדיון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משעבוד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הגוף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ושעבוד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הנפש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ישובון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תרתי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משמע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ישובו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כפי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",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ישובון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 -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ישובו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בתשובה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בסוד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ששון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ושמחה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ישיגו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העתידים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לבוא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בשלמות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הגאולה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מתחילין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באתחלתא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קימעא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קימעא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בטצ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עקבות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עקבי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הצאן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</w:p>
    <w:p w:rsidR="00000000" w:rsidDel="00000000" w:rsidP="00000000" w:rsidRDefault="00000000" w:rsidRPr="00000000" w14:paraId="0000009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עיקרי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היסודות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בשיטת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עקבות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שבעה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עינים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עפ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[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] 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השיטה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היסודית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ויחיה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ותתבטל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הגזירה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לההרג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ארמילוס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הרשע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תלויה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האתחלתא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דגאולה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הבחינות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הגזירה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מתבטלת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אריכות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יסוריו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שסובל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ונושא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חלינו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המעשים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הנעשים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במסירות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נפש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לקבוץ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תפקידו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חבלי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ויסורי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ארץ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תפלותינו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תמיד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חייו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והצלחתו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בתפלות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הקבועות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כמבואר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להלן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והעוסקין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בקבוץ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מקילין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יסוריו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בעקבות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הגזירה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מתבטלת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שנחלקת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לחלקים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קטנים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המובא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במדרש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למלך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שכעס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ונשבע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לזרוק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גדולה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ורחם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ובכדי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שבועתו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הגדולה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לחלקים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קטנים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וזרק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עליו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החלקים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נמצא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נהרג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סובל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מהחלקים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הקטנים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חבלי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הבאים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קימעא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קימעא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יחד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תתקצ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עקבות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שגם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הגזירה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נחלקה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לתתקצ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חלקים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קטנים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ולעומתם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הישועות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כמרומז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בפסוק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ליעקב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ממנה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יושע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". [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ועת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צרה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ליעקב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= 999.]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יעודו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הכללי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בשלשה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גלוי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רזי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קבוץ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וביעור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רוח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הטומאה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הארץ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9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קבוץ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תפקידים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בנין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קבוץ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גלויות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וקיום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מצוות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התלויות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rtl w:val="1"/>
        </w:rPr>
        <w:t xml:space="preserve">בארץ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9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':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both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]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והצליח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התכונות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משיח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הצלחה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עשייה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ביוסף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עושה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׳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מצליח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בידו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ונודע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למשגב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רבנו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המצוות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שהאדם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נכנס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גופו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וארץ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ורמז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בפסוק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בשלם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סכו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ומעונתו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״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והוסיף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סוכה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מצוותה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תעשה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העשוי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וכאמור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במדרש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הפסוק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ובא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לציון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גואל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שציון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אינה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בנויה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עדיין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הגואל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וכדברי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מגילה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״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מכיון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שירושלים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נבנית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ובמדרש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דוד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שתהא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נבנית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מיכה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</w:t>
      </w:r>
    </w:p>
    <w:p w:rsidR="00000000" w:rsidDel="00000000" w:rsidP="00000000" w:rsidRDefault="00000000" w:rsidRPr="00000000" w14:paraId="000000A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ִָֽ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A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מלבי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מיכה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0"/>
          <w:szCs w:val="20"/>
          <w:u w:val="single"/>
          <w:rtl w:val="1"/>
        </w:rPr>
        <w:t xml:space="preserve">ח</w:t>
      </w:r>
    </w:p>
    <w:p w:rsidR="00000000" w:rsidDel="00000000" w:rsidP="00000000" w:rsidRDefault="00000000" w:rsidRPr="00000000" w14:paraId="000000A7">
      <w:pPr>
        <w:bidi w:val="1"/>
        <w:spacing w:after="0"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מסב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הנז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הצולעה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והנדחה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כמגדל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מבצר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ומפרש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בשלש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מדרגות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שהגליות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יתחילו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להתקבץ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ובנימין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שגלו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בחורבן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יתקבצו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הממשלה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קטנה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ממשלה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מנהיגים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ממלכת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ירושלים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ימלוך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המשיח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בממלכה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קבועה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התבאר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ביחזקאל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ועמוס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שמלכות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תתגלה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בהדרגה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ותחלה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במדרגת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שופט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ויתעלה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המלוכה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sectPr>
      <w:footerReference r:id="rId11" w:type="default"/>
      <w:pgSz w:h="16838" w:w="11906" w:orient="portrait"/>
      <w:pgMar w:bottom="567" w:top="567" w:left="567" w:right="567" w:header="709" w:footer="709"/>
      <w:pgNumType w:start="1"/>
      <w:cols w:equalWidth="0" w:num="2">
        <w:col w:space="708" w:w="5031.999999999999"/>
        <w:col w:space="0" w:w="5031.999999999999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he.wikisource.org/wiki/%D7%99%D7%A9%D7%A2%D7%99%D7%94%D7%95_%D7%A0%D7%90_%D7%99%D7%90" TargetMode="External"/><Relationship Id="rId9" Type="http://schemas.openxmlformats.org/officeDocument/2006/relationships/hyperlink" Target="https://he.wikisource.org/wiki/%D7%99%D7%A9%D7%A2%D7%99%D7%94%D7%95_%D7%A0%D7%90_%D7%99%D7%90" TargetMode="External"/><Relationship Id="rId5" Type="http://schemas.openxmlformats.org/officeDocument/2006/relationships/styles" Target="styles.xml"/><Relationship Id="rId6" Type="http://schemas.openxmlformats.org/officeDocument/2006/relationships/hyperlink" Target="https://he.wikisource.org/wiki/%D7%99%D7%A9%D7%A2%D7%99%D7%94%D7%95_%D7%A0%D7%90_%D7%99%D7%90" TargetMode="External"/><Relationship Id="rId7" Type="http://schemas.openxmlformats.org/officeDocument/2006/relationships/hyperlink" Target="https://he.wikisource.org/wiki/%D7%99%D7%A9%D7%A2%D7%99%D7%94%D7%95_%D7%A0%D7%90_%D7%99%D7%90" TargetMode="External"/><Relationship Id="rId8" Type="http://schemas.openxmlformats.org/officeDocument/2006/relationships/hyperlink" Target="https://he.wikisource.org/wiki/%D7%99%D7%A9%D7%A2%D7%99%D7%94%D7%95_%D7%A0%D7%90_%D7%99%D7%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