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חשיבה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נגלה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וחשיבה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נסתר</w:t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קברות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התאווה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בנגלה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ובנסתר</w:t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במדבר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יא</w:t>
      </w:r>
    </w:p>
    <w:p w:rsidR="00000000" w:rsidDel="00000000" w:rsidP="00000000" w:rsidRDefault="00000000" w:rsidRPr="00000000" w14:paraId="00000006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ֹּ֖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ֶׁ֑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ֵּ֤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ׁ: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ֵֽׁ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</w:t>
      </w:r>
    </w:p>
    <w:p w:rsidR="00000000" w:rsidDel="00000000" w:rsidP="00000000" w:rsidRDefault="00000000" w:rsidRPr="00000000" w14:paraId="00000007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ֶׁ֣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ֻׁ֣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ֹּ֣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ָֽׂ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ֻּׁ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ּׁ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ֵׁ֥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ָׁ֖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ֹּ֑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ּ: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ּ֩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ְּׁ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ׂ֥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ַׁ֥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ָּֽׁ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ֶׁ֜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ֳ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ֶׁ֖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</w:t>
      </w:r>
    </w:p>
    <w:p w:rsidR="00000000" w:rsidDel="00000000" w:rsidP="00000000" w:rsidRDefault="00000000" w:rsidRPr="00000000" w14:paraId="00000008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ֹּ֨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ֶׁ֜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ֶּ֔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ׂ֗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ָּׂ֛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ֶּ֖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</w:t>
      </w:r>
    </w:p>
    <w:p w:rsidR="00000000" w:rsidDel="00000000" w:rsidP="00000000" w:rsidRDefault="00000000" w:rsidRPr="00000000" w14:paraId="00000009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0A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ֹּ֨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ֶׁ֗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ׁ֘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֒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ֶׁ֣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ָּ֤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ָׁ֖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ְ: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ָ֘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֒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ֶׁ֥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ַׂ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ָּׂ֣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ָּׂ֥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ֶּֽ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ָ: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֘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ֶּ֣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ָׂ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֒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֩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ָׂ֔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ָׂ֖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ֶּֽ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׀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ָּׁ֣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ָׂ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׀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ֶּ֤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ֶׁ֣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ֶּ֖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0B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׀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ַׂ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֘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֒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ֹּ֨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ֹּ֗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ֹּ֔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֩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׀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ֳ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ְּׂ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ָׂ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ֳ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ָׂ֗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ֵּ֣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ָּ֥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ָ֛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ֵֽׁ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֥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֣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֔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ִּֽ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</w:t>
      </w:r>
    </w:p>
    <w:p w:rsidR="00000000" w:rsidDel="00000000" w:rsidP="00000000" w:rsidRDefault="00000000" w:rsidRPr="00000000" w14:paraId="0000000D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רש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בהעלותך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למשפחותיו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משפחות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משפחות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נאספים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ובוכים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לפרסם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תרעומתן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בגלוי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ורבותינו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למשפחותיו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עסקי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משפחות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עריות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הנאסרות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".</w:t>
      </w:r>
    </w:p>
    <w:p w:rsidR="00000000" w:rsidDel="00000000" w:rsidP="00000000" w:rsidRDefault="00000000" w:rsidRPr="00000000" w14:paraId="00000010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הנגלה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2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שיחות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הרצי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בהעלותך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סדרה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/10.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קברות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התאוה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התסבוכת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הנפשית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מתבטאת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בבקשות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שפלות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זכרנו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הדגה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במצרים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הקשואים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האבטחים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החציר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הבצלים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השומים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הנוסחאות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נובעות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מההתאוננות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שבתסבוכת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המדברית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תאוות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הממון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וכדומה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חולשה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נמשך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האינסטינקט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נשלט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להנהיג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גיבור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הכובש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מתגבר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התאוותנות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שנובעת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מחולשה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אנושית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חסרון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שליטת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שליטה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רוחנית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וגופנית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נמשך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התעוררות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גופנית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ורגשית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להתגבר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בגבורת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תאוות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,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הקנאה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התאוה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והכבוד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מוציאין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התאוה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קוברת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התאוה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 </w:t>
      </w:r>
    </w:p>
    <w:p w:rsidR="00000000" w:rsidDel="00000000" w:rsidP="00000000" w:rsidRDefault="00000000" w:rsidRPr="00000000" w14:paraId="00000015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מאור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ושמש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במדבר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פרשת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בהעלותך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"</w:t>
      </w:r>
    </w:p>
    <w:p w:rsidR="00000000" w:rsidDel="00000000" w:rsidP="00000000" w:rsidRDefault="00000000" w:rsidRPr="00000000" w14:paraId="00000017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"...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הענין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דהנה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יסוד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בעבדות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להרחיק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מעצבות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ומרה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שחורה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רחמנא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ליצלן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האפשרות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שמצינו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בזוהר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שעצבות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שמץ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עיין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והמופת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לזה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עצבון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משוטט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במוחו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מחשבות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להתרחק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מהעצבות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מאד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ומאד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מביא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מיני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עבירות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והעצבון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תחילתו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שמתגבר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בקרבו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תאוות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אכילה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כאשר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עינינו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רואות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האיש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שרוי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במרה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שחורה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רחמנא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ליצלן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אוכל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בתאוה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ורעבתנות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ובמהירות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ומתאות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אכילה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נמשך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תאוות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אחרים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כגון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משגל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ודומיהן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ולתת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עצות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לנפשו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להתגבר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יצרו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לשבר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תאות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היצר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שידבק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לצדיקים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ומהם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ילמוד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19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דברי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יתבאר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פרשה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ויהי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כמתאוננים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באזני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פירוש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שנפלו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לעצבות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מגזירת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אונן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';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ותבער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שחורה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שנאוי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ומשוקץ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שמץ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נענשו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ויתפלל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ותשקע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האש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נמשך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העצבות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שהתאוו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תאווה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ויאמרו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יאכילנו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כמאמרינו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לעיל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שתאות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אכילה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נמשך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ממרה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שחורה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</w:t>
      </w:r>
    </w:p>
    <w:p w:rsidR="00000000" w:rsidDel="00000000" w:rsidP="00000000" w:rsidRDefault="00000000" w:rsidRPr="00000000" w14:paraId="0000001A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אמת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ליעקב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בראשית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יג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פסוק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י</w:t>
      </w:r>
    </w:p>
    <w:p w:rsidR="00000000" w:rsidDel="00000000" w:rsidP="00000000" w:rsidRDefault="00000000" w:rsidRPr="00000000" w14:paraId="0000001C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כגן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מצרים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באכה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צער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פירש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ומדרש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אגדה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דורשה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לגנאי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שהיו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שטופי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בחר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לוט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בשכונתם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סוגיא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בהוריות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],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ועיי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לכאורה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תמוה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ראו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לגבב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לוט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המקרא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מפרש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שמפני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המשקה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הככר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בחר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לוט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בככר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הירדן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בביאור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הענין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השקפה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כללית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לכמה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פרשיות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פרד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פשט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רמז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דרוש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וסוד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והיינו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שנמצאים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באדם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כוחות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כהים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פועלים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בהנהגת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מרגישם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בבחינת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הכליות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הלב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כלומר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כשהמחשבה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נגמרת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בשכל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האנושי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כמין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וזו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הפשטות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נמצאים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באדם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יצירות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מחשבות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נתגשמו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בבחינת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הכליות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היינו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המחשבה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בכח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בפועל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והיא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צורת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המעשה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להסביר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ענין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ננקוט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לדוגמא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שכתבתי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בביאור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הפסוק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בפרשת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בהעלותך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במדבר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]: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זכרנו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הדגה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אכלנו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במצרים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חנם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הבצלים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השומים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שמפורש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בקרא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התאוננו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שחסר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האוכל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במצרים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הביא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בשם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שעיקר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טענתם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ובכייתם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עסקי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משפחות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והיינו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העריות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שנאסרו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תמוה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דמנא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לחז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מילים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בפיהם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הזכירו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בעצמם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שהביאור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כמש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שחז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ברוח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קדשם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ובין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מצד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המדע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העריכו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כפשוטו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דהרי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מסתבר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שאנשים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יבכו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הרגישו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טעם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בצלים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ושומים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בזמן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אצלם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המן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טעים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ומשובח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כרחך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שאף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בעצמן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בכו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טעם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השומים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והבצלים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שנעדר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בכוחות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הכהים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היתה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תביעה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עסקי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עריות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וזהו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הענין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שביארו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לוט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דבפשוטו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בודאי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שלוט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דימה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חפץ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להיטיב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מצבו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בעשירות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ומשום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נשא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לשבת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יחדו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ברוח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קדשם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הבינו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אילו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היתה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פנימיותו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כהוגן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ודאי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נותן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לבו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דאפילו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פרנסתו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תהיה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מצומצמת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מילתא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זוטרתא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לחיות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בקרבתו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אברהם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אבינו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ומכל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שכן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שראה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שכבר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נתעשר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קרבתו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אברהם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וכמו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שדרשו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שהביא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הפסוק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לעיל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וגם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ללוט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ההולך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אברהם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צאן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ובקר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ואהלים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גרם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הליכתו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אברהם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יתכן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שבשביל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הנאת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ממון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יתרחק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מאברהם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כרחך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משום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נתרחק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ממנו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וכדמצינו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הפסוק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בנות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לעצמך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משמרן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ואכן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בסופו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לוט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ושני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בנותיו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ודו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היטב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הנסתר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22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מרום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עמ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מא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1"/>
        </w:rPr>
        <w:t xml:space="preserve">':</w:t>
      </w:r>
    </w:p>
    <w:p w:rsidR="00000000" w:rsidDel="00000000" w:rsidP="00000000" w:rsidRDefault="00000000" w:rsidRPr="00000000" w14:paraId="00000024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"...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וזאת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היתה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טענתם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במצרים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חנם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ואחז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חנם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המצוות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כלומר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שהיו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בבחינת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שישנם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גדולים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מאד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ביסודם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הנם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קדושים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מאד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אולם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בהשתלשותן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וירידתן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לעולם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המעשה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הינן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מתגשמים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ומסתלפים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יורדים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אלינו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חטא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אולם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הרעיון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בעצם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יסודו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קדושה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שעצם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התביעה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היתה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התעוררות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לדרישת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בחינת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האינו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מצווה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ועושה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שנסתלפה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ונתגשמה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תאוה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פשוטה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5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36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הרב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חרל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פ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ממעייני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הישועה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עמ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'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קסו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' –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תורה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לשמה</w:t>
      </w:r>
    </w:p>
    <w:p w:rsidR="00000000" w:rsidDel="00000000" w:rsidP="00000000" w:rsidRDefault="00000000" w:rsidRPr="00000000" w14:paraId="00000027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"...</w:t>
      </w:r>
      <w:r w:rsidDel="00000000" w:rsidR="00000000" w:rsidRPr="00000000">
        <w:rPr>
          <w:b w:val="1"/>
          <w:sz w:val="20"/>
          <w:szCs w:val="20"/>
          <w:rtl w:val="1"/>
        </w:rPr>
        <w:t xml:space="preserve">העסק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בתורה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מפני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שזה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אחת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ממצות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ד</w:t>
      </w:r>
      <w:r w:rsidDel="00000000" w:rsidR="00000000" w:rsidRPr="00000000">
        <w:rPr>
          <w:b w:val="1"/>
          <w:sz w:val="20"/>
          <w:szCs w:val="20"/>
          <w:rtl w:val="1"/>
        </w:rPr>
        <w:t xml:space="preserve">',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אפילו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ידעו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שהיא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המצוה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הגדולה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מכל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המצות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שבתורה</w:t>
      </w:r>
      <w:r w:rsidDel="00000000" w:rsidR="00000000" w:rsidRPr="00000000">
        <w:rPr>
          <w:b w:val="1"/>
          <w:sz w:val="20"/>
          <w:szCs w:val="20"/>
          <w:rtl w:val="1"/>
        </w:rPr>
        <w:t xml:space="preserve"> –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השגה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כזאת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דלה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ונמוכה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היא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לפי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ערך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עצמיותה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קדושת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התורה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שכן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התורה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עצמיות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החיים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וכשם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לעשות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למטרה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שמחשבה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שפלות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בערכי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החיים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ולזאת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לחיים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בעצם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החיים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לרוב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פשטותו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וגדל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ערכו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שהאדם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ספוג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חקירה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כלל</w:t>
      </w:r>
      <w:r w:rsidDel="00000000" w:rsidR="00000000" w:rsidRPr="00000000">
        <w:rPr>
          <w:sz w:val="20"/>
          <w:szCs w:val="20"/>
          <w:rtl w:val="1"/>
        </w:rPr>
        <w:t xml:space="preserve"> –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וביתר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התורה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שהאדם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נדרש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ספוג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מהם</w:t>
      </w:r>
      <w:r w:rsidDel="00000000" w:rsidR="00000000" w:rsidRPr="00000000">
        <w:rPr>
          <w:sz w:val="20"/>
          <w:szCs w:val="20"/>
          <w:rtl w:val="1"/>
        </w:rPr>
        <w:t xml:space="preserve">...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נתינת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לערכי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התורה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הורדה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מגדלותה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ועצמיות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חייה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וזהו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לשמה</w:t>
      </w:r>
      <w:r w:rsidDel="00000000" w:rsidR="00000000" w:rsidRPr="00000000">
        <w:rPr>
          <w:sz w:val="20"/>
          <w:szCs w:val="20"/>
          <w:rtl w:val="1"/>
        </w:rPr>
        <w:t xml:space="preserve">" </w:t>
      </w:r>
      <w:r w:rsidDel="00000000" w:rsidR="00000000" w:rsidRPr="00000000">
        <w:rPr>
          <w:sz w:val="20"/>
          <w:szCs w:val="20"/>
          <w:rtl w:val="1"/>
        </w:rPr>
        <w:t xml:space="preserve">לשם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התורה</w:t>
      </w:r>
      <w:r w:rsidDel="00000000" w:rsidR="00000000" w:rsidRPr="00000000">
        <w:rPr>
          <w:sz w:val="20"/>
          <w:szCs w:val="20"/>
          <w:rtl w:val="1"/>
        </w:rPr>
        <w:t xml:space="preserve">...</w:t>
      </w:r>
    </w:p>
    <w:p w:rsidR="00000000" w:rsidDel="00000000" w:rsidP="00000000" w:rsidRDefault="00000000" w:rsidRPr="00000000" w14:paraId="00000028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ההתרוממות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ממעל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לתכונה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מצוה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בלימוד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תורה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היא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המדרגה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היותר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עליונה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שהקב</w:t>
      </w:r>
      <w:r w:rsidDel="00000000" w:rsidR="00000000" w:rsidRPr="00000000">
        <w:rPr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משתוקק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לראות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אותה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בבניו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כענין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שאמרו</w:t>
      </w:r>
      <w:r w:rsidDel="00000000" w:rsidR="00000000" w:rsidRPr="00000000">
        <w:rPr>
          <w:b w:val="1"/>
          <w:sz w:val="20"/>
          <w:szCs w:val="20"/>
          <w:rtl w:val="1"/>
        </w:rPr>
        <w:t xml:space="preserve"> "</w:t>
      </w:r>
      <w:r w:rsidDel="00000000" w:rsidR="00000000" w:rsidRPr="00000000">
        <w:rPr>
          <w:b w:val="1"/>
          <w:sz w:val="20"/>
          <w:szCs w:val="20"/>
          <w:rtl w:val="1"/>
        </w:rPr>
        <w:t xml:space="preserve">הלואי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אותי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עזבו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ותורתי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שמרו</w:t>
      </w:r>
      <w:r w:rsidDel="00000000" w:rsidR="00000000" w:rsidRPr="00000000">
        <w:rPr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ילקוט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ירמיה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רמז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רפ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). . </w:t>
      </w:r>
      <w:r w:rsidDel="00000000" w:rsidR="00000000" w:rsidRPr="00000000">
        <w:rPr>
          <w:sz w:val="20"/>
          <w:szCs w:val="20"/>
          <w:rtl w:val="1"/>
        </w:rPr>
        <w:t xml:space="preserve">התכונה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מצוה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לעשות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מצוה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מספיקה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ביחס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לשאר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התורה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שהן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לחיים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מספיקה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לתורה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החיים</w:t>
      </w:r>
      <w:r w:rsidDel="00000000" w:rsidR="00000000" w:rsidRPr="00000000">
        <w:rPr>
          <w:sz w:val="20"/>
          <w:szCs w:val="20"/>
          <w:rtl w:val="1"/>
        </w:rPr>
        <w:t xml:space="preserve">...</w:t>
      </w:r>
    </w:p>
    <w:p w:rsidR="00000000" w:rsidDel="00000000" w:rsidP="00000000" w:rsidRDefault="00000000" w:rsidRPr="00000000" w14:paraId="00000029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ובעקבתא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דמשיחא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מתעוררות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המצוות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לעלות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אף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למעלה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מתכונה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מצוה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מסבה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לחיים</w:t>
      </w:r>
      <w:r w:rsidDel="00000000" w:rsidR="00000000" w:rsidRPr="00000000">
        <w:rPr>
          <w:b w:val="1"/>
          <w:sz w:val="20"/>
          <w:szCs w:val="20"/>
          <w:rtl w:val="1"/>
        </w:rPr>
        <w:t xml:space="preserve"> –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לעצם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החיים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ומקורם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וזוהי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הסבה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שאינם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מתרצים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לקיים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המצות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מבלעדי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ההרגשה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הרוממה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בקדושת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בתור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עם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נמצאים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אז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במצב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התחלפות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מסבה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למקור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ועצם</w:t>
      </w:r>
      <w:r w:rsidDel="00000000" w:rsidR="00000000" w:rsidRPr="00000000">
        <w:rPr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ועל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נדרש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ביותר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שמקימי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המצות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יתעלו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למקור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קדושתם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להכיר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ולהסביר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1"/>
        </w:rPr>
        <w:t xml:space="preserve">לעצמם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קדושת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התורה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והמצות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מצד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התכונה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הנשגבה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שמבלעדם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אין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חיים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כלל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והן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אור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החיים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הנצחי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אלוהים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חיים</w:t>
      </w:r>
      <w:r w:rsidDel="00000000" w:rsidR="00000000" w:rsidRPr="00000000">
        <w:rPr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עמך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מקור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חיים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ובאורך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נראה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אור</w:t>
      </w:r>
      <w:r w:rsidDel="00000000" w:rsidR="00000000" w:rsidRPr="00000000">
        <w:rPr>
          <w:sz w:val="20"/>
          <w:szCs w:val="20"/>
          <w:rtl w:val="0"/>
        </w:rPr>
        <w:t xml:space="preserve">". </w:t>
      </w:r>
    </w:p>
    <w:p w:rsidR="00000000" w:rsidDel="00000000" w:rsidP="00000000" w:rsidRDefault="00000000" w:rsidRPr="00000000" w14:paraId="0000002A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התיקון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במידה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ההפכית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במידה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עצמה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2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רמב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דעות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וכיצד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רפואתם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להנהיג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וקולל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ירגיש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שיתעקר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ינהיג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בבזיון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למטה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וילבש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בלויי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סחבות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המבזות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לובשיהם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וכיוצא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שיעקור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ויחזור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האמצעית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ולכשיחזור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האמצעית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הדעות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רחוק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ירחיק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וינהוג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שיחזור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בינונית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פירוש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הגר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למשלי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כה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כא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31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"...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נימוח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ברזל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מתפוצץ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נימוח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שחקו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ברזל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מתפוצץ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והיינו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ששני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מיני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יצה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כמ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למעלה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תאוני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וכעסני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והן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ימין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ושמאל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וכנגדן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נקרא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כמ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כאש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צמא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לכו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למים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והיינו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שבתורה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ואגדות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ואגדות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נקר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שמושך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לבו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כמים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עניניהם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מוסר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שמזה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ישבר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יצה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התאוות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מוסר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וההלכות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הדינין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שהן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האש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וכמ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אורייתא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דקא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מרתחא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והחילוק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שבין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מתפוצץ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לנימוח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שמתפוצץ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שמתפוצץ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תיכף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נימוח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ובהמשך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הזמן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וזהו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אבן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נימוח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בהמשך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הזמן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קשה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לשברו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ונק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התאוני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אבן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מטמטם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לבו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ברזל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מתפוצץ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מאש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הכעסני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0"/>
        </w:rPr>
        <w:t xml:space="preserve">(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שהדינין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אינן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נתמתקין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בשרשן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דהיינו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בשורש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שנבראו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בשביל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ולכן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כעסני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נמתק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האש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נצר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לזה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ואבן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שהן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התאוות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הנצרכין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להתורה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ובאגדות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שאדם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מתאוה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להן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שהן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המים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0"/>
        </w:rPr>
        <w:t xml:space="preserve">)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הכעסני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נוח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לשברו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התאוני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נצרך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יתפוצץ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תיכף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רעב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שונאך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רעב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הכעסני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האכילהו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נצרך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תבואות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התאוני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השקיהו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אגדות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האכילהו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שתלמוד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אורות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הקודש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הגאוה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הקדושה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הענוה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יא</w:t>
      </w:r>
    </w:p>
    <w:p w:rsidR="00000000" w:rsidDel="00000000" w:rsidP="00000000" w:rsidRDefault="00000000" w:rsidRPr="00000000" w14:paraId="0000003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שורש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הגאוה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בקדושה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הגאוה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הקדושה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מתגאים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באלהים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גאותנו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מתגאים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היצורים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יצורי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קשורים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השלמים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העליונים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להאגד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בחיי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3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ההארה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המפוארת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ההולכת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ושוטפת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מתגאים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גאות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הענוה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השלום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אוכלה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המכלה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הזוהמא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גסות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והפרדה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טומאת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רעיון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חולשה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וטמטום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עזי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וזמרת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לישועה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3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567" w:header="709" w:footer="709"/>
      <w:pgNumType w:start="1"/>
      <w:cols w:equalWidth="0" w:num="3">
        <w:col w:space="708" w:w="4762.666666666666"/>
        <w:col w:space="708" w:w="4762.666666666666"/>
        <w:col w:space="0" w:w="4762.666666666666"/>
      </w:cols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Davi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